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CB40" w14:textId="77777777" w:rsidR="009D1F61" w:rsidRDefault="009D1F61" w:rsidP="00590CA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CF60E5F" w14:textId="77777777" w:rsidR="002A4C5E" w:rsidRDefault="00193D08" w:rsidP="00590CA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A3F1A">
        <w:rPr>
          <w:rFonts w:ascii="Arial" w:hAnsi="Arial" w:cs="Arial"/>
          <w:b/>
          <w:sz w:val="28"/>
          <w:szCs w:val="28"/>
        </w:rPr>
        <w:t>Monitoring Checklist – Machines</w:t>
      </w:r>
    </w:p>
    <w:p w14:paraId="66922E39" w14:textId="77777777" w:rsidR="00FF48C2" w:rsidRDefault="00FF48C2" w:rsidP="00590CA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1042723" w14:textId="77777777" w:rsidR="00FF48C2" w:rsidRPr="00190636" w:rsidRDefault="00FF48C2" w:rsidP="00107D30">
      <w:pPr>
        <w:pStyle w:val="NoSpacing"/>
        <w:rPr>
          <w:rFonts w:ascii="Arial" w:hAnsi="Arial" w:cs="Arial"/>
        </w:rPr>
      </w:pPr>
      <w:r w:rsidRPr="000904E7">
        <w:rPr>
          <w:rFonts w:ascii="Arial" w:hAnsi="Arial" w:cs="Arial"/>
        </w:rPr>
        <w:t xml:space="preserve">This template may assist </w:t>
      </w:r>
      <w:proofErr w:type="spellStart"/>
      <w:r w:rsidRPr="000904E7">
        <w:rPr>
          <w:rFonts w:ascii="Arial" w:hAnsi="Arial" w:cs="Arial"/>
        </w:rPr>
        <w:t>autho</w:t>
      </w:r>
      <w:r w:rsidR="00205DC4">
        <w:rPr>
          <w:rFonts w:ascii="Arial" w:hAnsi="Arial" w:cs="Arial"/>
        </w:rPr>
        <w:t>rised</w:t>
      </w:r>
      <w:proofErr w:type="spellEnd"/>
      <w:r w:rsidR="00205DC4">
        <w:rPr>
          <w:rFonts w:ascii="Arial" w:hAnsi="Arial" w:cs="Arial"/>
        </w:rPr>
        <w:t xml:space="preserve"> local authority officers</w:t>
      </w:r>
      <w:r w:rsidR="000904E7" w:rsidRPr="000904E7">
        <w:rPr>
          <w:rFonts w:ascii="Arial" w:hAnsi="Arial" w:cs="Arial"/>
        </w:rPr>
        <w:t xml:space="preserve"> when responding to complain</w:t>
      </w:r>
      <w:r w:rsidR="00190636">
        <w:rPr>
          <w:rFonts w:ascii="Arial" w:hAnsi="Arial" w:cs="Arial"/>
        </w:rPr>
        <w:t>ts of illegally sited machines and recording their findings.</w:t>
      </w:r>
      <w:r w:rsidR="00BF0E68">
        <w:rPr>
          <w:rFonts w:ascii="Arial" w:hAnsi="Arial" w:cs="Arial"/>
        </w:rPr>
        <w:t xml:space="preserve">  A summary of machine categories is provided at the end of this checklist for reference</w:t>
      </w:r>
      <w:r w:rsidR="00C12442">
        <w:rPr>
          <w:rFonts w:ascii="Arial" w:hAnsi="Arial" w:cs="Arial"/>
        </w:rPr>
        <w:t>.</w:t>
      </w:r>
    </w:p>
    <w:p w14:paraId="675E28CD" w14:textId="77777777" w:rsidR="00102155" w:rsidRPr="00FF48C2" w:rsidRDefault="00102155" w:rsidP="00FF48C2">
      <w:pPr>
        <w:pStyle w:val="NoSpacing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1448"/>
        <w:gridCol w:w="2662"/>
        <w:gridCol w:w="2126"/>
      </w:tblGrid>
      <w:tr w:rsidR="0014089C" w:rsidRPr="009D1F61" w14:paraId="4B2859BD" w14:textId="77777777" w:rsidTr="0014089C">
        <w:tc>
          <w:tcPr>
            <w:tcW w:w="3149" w:type="dxa"/>
            <w:shd w:val="clear" w:color="auto" w:fill="auto"/>
          </w:tcPr>
          <w:p w14:paraId="22503E6E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Premises name and address</w:t>
            </w:r>
          </w:p>
          <w:p w14:paraId="7B77C265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C69A4FD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236" w:type="dxa"/>
            <w:gridSpan w:val="3"/>
          </w:tcPr>
          <w:p w14:paraId="3BEB40F9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4089C" w:rsidRPr="009D1F61" w14:paraId="34C57246" w14:textId="77777777" w:rsidTr="0014089C">
        <w:tc>
          <w:tcPr>
            <w:tcW w:w="3149" w:type="dxa"/>
            <w:shd w:val="clear" w:color="auto" w:fill="auto"/>
          </w:tcPr>
          <w:p w14:paraId="660773DC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 xml:space="preserve">Name of Premises </w:t>
            </w:r>
            <w:proofErr w:type="spellStart"/>
            <w:r w:rsidRPr="009D1F61">
              <w:rPr>
                <w:rFonts w:ascii="Arial" w:eastAsia="Times New Roman" w:hAnsi="Arial" w:cs="Arial"/>
                <w:lang w:eastAsia="en-GB"/>
              </w:rPr>
              <w:t>Licence</w:t>
            </w:r>
            <w:proofErr w:type="spellEnd"/>
            <w:r w:rsidRPr="009D1F61">
              <w:rPr>
                <w:rFonts w:ascii="Arial" w:eastAsia="Times New Roman" w:hAnsi="Arial" w:cs="Arial"/>
                <w:lang w:eastAsia="en-GB"/>
              </w:rPr>
              <w:t xml:space="preserve"> Holder/ Designated Premises Supervisor or person in a management position</w:t>
            </w:r>
          </w:p>
        </w:tc>
        <w:tc>
          <w:tcPr>
            <w:tcW w:w="6236" w:type="dxa"/>
            <w:gridSpan w:val="3"/>
          </w:tcPr>
          <w:p w14:paraId="46F4B4B6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4089C" w:rsidRPr="009D1F61" w14:paraId="6C5F5CE6" w14:textId="77777777" w:rsidTr="0014089C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DBE33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9D1F61">
              <w:rPr>
                <w:rFonts w:ascii="Arial" w:eastAsia="Times New Roman" w:hAnsi="Arial" w:cs="Arial"/>
                <w:lang w:eastAsia="en-GB"/>
              </w:rPr>
              <w:t>Licence</w:t>
            </w:r>
            <w:proofErr w:type="spellEnd"/>
            <w:r w:rsidRPr="009D1F61">
              <w:rPr>
                <w:rFonts w:ascii="Arial" w:eastAsia="Times New Roman" w:hAnsi="Arial" w:cs="Arial"/>
                <w:lang w:eastAsia="en-GB"/>
              </w:rPr>
              <w:t xml:space="preserve"> or permit in place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66B0B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54788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9D1F61">
              <w:rPr>
                <w:rFonts w:ascii="Arial" w:eastAsia="Times New Roman" w:hAnsi="Arial" w:cs="Arial"/>
                <w:lang w:eastAsia="en-GB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/ Registration</w:t>
            </w:r>
            <w:r w:rsidRPr="009D1F61">
              <w:rPr>
                <w:rFonts w:ascii="Arial" w:eastAsia="Times New Roman" w:hAnsi="Arial" w:cs="Arial"/>
                <w:lang w:eastAsia="en-GB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611A3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Permit expiry date (where relevant)</w:t>
            </w:r>
          </w:p>
        </w:tc>
      </w:tr>
      <w:tr w:rsidR="0014089C" w:rsidRPr="009D1F61" w14:paraId="4B8E1A20" w14:textId="77777777" w:rsidTr="0014089C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D6B9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Licensed premises gaming machine permit i</w:t>
            </w:r>
            <w:r w:rsidRPr="009D1F61">
              <w:rPr>
                <w:rFonts w:ascii="Arial" w:eastAsia="Times New Roman" w:hAnsi="Arial" w:cs="Arial"/>
                <w:lang w:eastAsia="en-GB"/>
              </w:rPr>
              <w:t xml:space="preserve">ssued by the Local Authority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48A8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Yes/ 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984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78B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4089C" w:rsidRPr="009D1F61" w14:paraId="3BB0539D" w14:textId="77777777" w:rsidTr="0014089C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142B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Notif</w:t>
            </w:r>
            <w:r>
              <w:rPr>
                <w:rFonts w:ascii="Arial" w:eastAsia="Times New Roman" w:hAnsi="Arial" w:cs="Arial"/>
                <w:lang w:eastAsia="en-GB"/>
              </w:rPr>
              <w:t>ication of up to two machines (alcohol licensed premises o</w:t>
            </w:r>
            <w:r w:rsidRPr="009D1F61">
              <w:rPr>
                <w:rFonts w:ascii="Arial" w:eastAsia="Times New Roman" w:hAnsi="Arial" w:cs="Arial"/>
                <w:lang w:eastAsia="en-GB"/>
              </w:rPr>
              <w:t>nly)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8798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Yes/ 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A11E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001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4089C" w:rsidRPr="009D1F61" w14:paraId="76E8E3A6" w14:textId="77777777" w:rsidTr="0014089C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9249" w14:textId="77777777" w:rsidR="0014089C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Club machine p</w:t>
            </w:r>
            <w:r w:rsidRPr="009D1F61">
              <w:rPr>
                <w:rFonts w:ascii="Arial" w:eastAsia="Times New Roman" w:hAnsi="Arial" w:cs="Arial"/>
                <w:lang w:eastAsia="en-GB"/>
              </w:rPr>
              <w:t>ermit</w:t>
            </w:r>
          </w:p>
          <w:p w14:paraId="56ECFC12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1AA0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Yes/ 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F07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6C1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4089C" w:rsidRPr="009D1F61" w14:paraId="007A3933" w14:textId="77777777" w:rsidTr="0014089C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59D4" w14:textId="77777777" w:rsidR="0014089C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Club gaming p</w:t>
            </w:r>
            <w:r w:rsidRPr="009D1F61">
              <w:rPr>
                <w:rFonts w:ascii="Arial" w:eastAsia="Times New Roman" w:hAnsi="Arial" w:cs="Arial"/>
                <w:lang w:eastAsia="en-GB"/>
              </w:rPr>
              <w:t>ermit</w:t>
            </w:r>
          </w:p>
          <w:p w14:paraId="40ED040A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E4B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1F61">
              <w:rPr>
                <w:rFonts w:ascii="Arial" w:eastAsia="Times New Roman" w:hAnsi="Arial" w:cs="Arial"/>
                <w:lang w:eastAsia="en-GB"/>
              </w:rPr>
              <w:t>Yes/ 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0B36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2AD" w14:textId="77777777" w:rsidR="0014089C" w:rsidRPr="009D1F61" w:rsidRDefault="0014089C" w:rsidP="002A4C5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BF1158B" w14:textId="77777777" w:rsidR="004F0C6D" w:rsidRPr="008A3F1A" w:rsidRDefault="004F0C6D" w:rsidP="004F0C6D">
      <w:pPr>
        <w:pStyle w:val="NoSpacing"/>
        <w:rPr>
          <w:rFonts w:ascii="Arial" w:hAnsi="Arial" w:cs="Arial"/>
          <w:sz w:val="28"/>
          <w:szCs w:val="28"/>
        </w:rPr>
      </w:pPr>
    </w:p>
    <w:p w14:paraId="1AD4624C" w14:textId="77777777" w:rsidR="008A3F1A" w:rsidRDefault="00193D08" w:rsidP="00205D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A3F1A">
        <w:rPr>
          <w:rFonts w:ascii="Arial" w:hAnsi="Arial" w:cs="Arial"/>
          <w:b/>
          <w:sz w:val="28"/>
          <w:szCs w:val="28"/>
        </w:rPr>
        <w:t>Details of machines</w:t>
      </w:r>
      <w:r w:rsidR="002A4C5E" w:rsidRPr="008A3F1A">
        <w:rPr>
          <w:rFonts w:ascii="Arial" w:hAnsi="Arial" w:cs="Arial"/>
          <w:b/>
          <w:sz w:val="28"/>
          <w:szCs w:val="28"/>
        </w:rPr>
        <w:t xml:space="preserve"> sited</w:t>
      </w:r>
      <w:r w:rsidR="005D3358">
        <w:rPr>
          <w:rFonts w:ascii="Arial" w:hAnsi="Arial" w:cs="Arial"/>
          <w:b/>
          <w:sz w:val="28"/>
          <w:szCs w:val="28"/>
        </w:rPr>
        <w:t xml:space="preserve"> at premises</w:t>
      </w:r>
    </w:p>
    <w:p w14:paraId="60CBB2BB" w14:textId="77777777" w:rsidR="00205DC4" w:rsidRPr="00205DC4" w:rsidRDefault="00205DC4" w:rsidP="00205D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544"/>
      </w:tblGrid>
      <w:tr w:rsidR="00D61254" w:rsidRPr="009D1F61" w14:paraId="2340498B" w14:textId="77777777" w:rsidTr="009C764F">
        <w:trPr>
          <w:trHeight w:val="39"/>
        </w:trPr>
        <w:tc>
          <w:tcPr>
            <w:tcW w:w="2093" w:type="dxa"/>
            <w:shd w:val="clear" w:color="auto" w:fill="D9D9D9" w:themeFill="background1" w:themeFillShade="D9"/>
          </w:tcPr>
          <w:p w14:paraId="0194A7D3" w14:textId="77777777" w:rsidR="00320A38" w:rsidRPr="009D1F61" w:rsidRDefault="0014089C" w:rsidP="002A4C5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Machine c</w:t>
            </w:r>
            <w:r w:rsidR="00D61254" w:rsidRPr="009D1F61">
              <w:rPr>
                <w:rFonts w:ascii="Arial" w:hAnsi="Arial" w:cs="Arial"/>
                <w:b/>
                <w:color w:val="000000" w:themeColor="text1"/>
              </w:rPr>
              <w:t>ategory</w:t>
            </w:r>
            <w:r w:rsidR="00D61254" w:rsidRPr="009D1F6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EF6EEBE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D1F61">
              <w:rPr>
                <w:rFonts w:ascii="Arial" w:hAnsi="Arial" w:cs="Arial"/>
                <w:color w:val="000000" w:themeColor="text1"/>
              </w:rPr>
              <w:t>(i.e. Cat C, Cat D)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231C57E" w14:textId="77777777" w:rsidR="00320A38" w:rsidRPr="009D1F61" w:rsidRDefault="00D61254" w:rsidP="002A4C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1F61">
              <w:rPr>
                <w:rFonts w:ascii="Arial" w:hAnsi="Arial" w:cs="Arial"/>
                <w:b/>
              </w:rPr>
              <w:t xml:space="preserve">Machine Name </w:t>
            </w:r>
          </w:p>
          <w:p w14:paraId="6A72493D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  <w:r w:rsidRPr="009D1F61">
              <w:rPr>
                <w:rFonts w:ascii="Arial" w:hAnsi="Arial" w:cs="Arial"/>
              </w:rPr>
              <w:t>(i.e. ‘Deal or No Deal’)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D709A87" w14:textId="77777777" w:rsidR="001A3C9E" w:rsidRDefault="0014089C" w:rsidP="001A3C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Machine s</w:t>
            </w:r>
            <w:r w:rsidR="00D61254" w:rsidRPr="001A3C9E">
              <w:rPr>
                <w:rFonts w:ascii="Arial" w:hAnsi="Arial" w:cs="Arial"/>
                <w:b/>
              </w:rPr>
              <w:t xml:space="preserve">upplier </w:t>
            </w:r>
            <w:r w:rsidR="008A3F1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ame/</w:t>
            </w:r>
            <w:r w:rsidR="001A3C9E">
              <w:rPr>
                <w:rFonts w:ascii="Arial" w:hAnsi="Arial" w:cs="Arial"/>
                <w:b/>
              </w:rPr>
              <w:t xml:space="preserve"> contact number </w:t>
            </w:r>
          </w:p>
          <w:p w14:paraId="23E50011" w14:textId="77777777" w:rsidR="00BE21D0" w:rsidRPr="001A3C9E" w:rsidRDefault="00BE21D0" w:rsidP="001A3C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1254" w:rsidRPr="009D1F61" w14:paraId="1C187027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74522A44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0F2C6B91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36274CB4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1CB6639E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1254" w:rsidRPr="009D1F61" w14:paraId="6A60E6F5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70935425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F0FF052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18374C0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2B22A000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1254" w:rsidRPr="009D1F61" w14:paraId="6AE05AAA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22892ADF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033E715A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D8F2FFD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30A96B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1254" w:rsidRPr="009D1F61" w14:paraId="07B87008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3C032212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F3EDF2F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A04F554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445687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1254" w:rsidRPr="009D1F61" w14:paraId="1ADE52D7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49AEA777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4C5B61C9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68C348E3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6D029BF" w14:textId="77777777" w:rsidR="00D61254" w:rsidRPr="009D1F61" w:rsidRDefault="00D61254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D30" w:rsidRPr="009D1F61" w14:paraId="53200EEC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5E1CBC66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F747B09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2A0C3EB" w14:textId="77777777" w:rsidR="00107D30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6C88B1F6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D30" w:rsidRPr="009D1F61" w14:paraId="10BF437F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0FE95B83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6687A06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11DEBF4" w14:textId="77777777" w:rsidR="00107D30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23F1DD30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D30" w:rsidRPr="009D1F61" w14:paraId="562893B1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148D1670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3A27C1E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B802B92" w14:textId="77777777" w:rsidR="00107D30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4F143B02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D30" w:rsidRPr="009D1F61" w14:paraId="56565FBB" w14:textId="77777777" w:rsidTr="009C764F">
        <w:trPr>
          <w:trHeight w:val="39"/>
        </w:trPr>
        <w:tc>
          <w:tcPr>
            <w:tcW w:w="2093" w:type="dxa"/>
            <w:shd w:val="clear" w:color="auto" w:fill="auto"/>
          </w:tcPr>
          <w:p w14:paraId="6DB6D094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196CB175" w14:textId="77777777" w:rsidR="00107D30" w:rsidRPr="009D1F61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9E09A5C" w14:textId="77777777" w:rsidR="00107D30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  <w:p w14:paraId="388EB8DA" w14:textId="77777777" w:rsidR="00107D30" w:rsidRDefault="00107D30" w:rsidP="002A4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A36F49" w14:textId="77777777" w:rsidR="00107D30" w:rsidRPr="00AC6206" w:rsidRDefault="00107D30" w:rsidP="00107D30">
      <w:pPr>
        <w:pStyle w:val="NoSpacing"/>
        <w:rPr>
          <w:rFonts w:ascii="Arial" w:hAnsi="Arial" w:cs="Arial"/>
          <w:u w:val="singl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5019"/>
      </w:tblGrid>
      <w:tr w:rsidR="00472878" w:rsidRPr="006966C4" w14:paraId="48832B54" w14:textId="77777777" w:rsidTr="00472878">
        <w:tc>
          <w:tcPr>
            <w:tcW w:w="4337" w:type="dxa"/>
            <w:shd w:val="clear" w:color="auto" w:fill="D9D9D9"/>
            <w:vAlign w:val="center"/>
          </w:tcPr>
          <w:p w14:paraId="7AF12200" w14:textId="77777777" w:rsidR="00472878" w:rsidRPr="006966C4" w:rsidRDefault="007224E3" w:rsidP="004728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Issue</w:t>
            </w:r>
          </w:p>
        </w:tc>
        <w:tc>
          <w:tcPr>
            <w:tcW w:w="5019" w:type="dxa"/>
            <w:shd w:val="clear" w:color="auto" w:fill="D9D9D9"/>
          </w:tcPr>
          <w:p w14:paraId="0FB25C14" w14:textId="77777777" w:rsidR="00472878" w:rsidRPr="006966C4" w:rsidRDefault="007224E3" w:rsidP="004728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Officer Notes</w:t>
            </w:r>
          </w:p>
        </w:tc>
      </w:tr>
      <w:tr w:rsidR="00472878" w:rsidRPr="006966C4" w14:paraId="733BD306" w14:textId="77777777" w:rsidTr="00472878">
        <w:tc>
          <w:tcPr>
            <w:tcW w:w="4337" w:type="dxa"/>
            <w:vAlign w:val="center"/>
          </w:tcPr>
          <w:p w14:paraId="6B221AF7" w14:textId="77777777" w:rsidR="00472878" w:rsidRDefault="00472878" w:rsidP="00472878">
            <w:pPr>
              <w:pStyle w:val="NoSpacing"/>
              <w:rPr>
                <w:rFonts w:ascii="Arial" w:hAnsi="Arial" w:cs="Arial"/>
                <w:u w:val="single"/>
              </w:rPr>
            </w:pPr>
            <w:r w:rsidRPr="00C94CF1">
              <w:rPr>
                <w:rFonts w:ascii="Arial" w:hAnsi="Arial" w:cs="Arial"/>
                <w:u w:val="single"/>
              </w:rPr>
              <w:t>Gaming Machines Available for Use</w:t>
            </w:r>
          </w:p>
          <w:p w14:paraId="167173B0" w14:textId="77777777" w:rsidR="007224E3" w:rsidRDefault="007224E3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196FE774" w14:textId="77777777" w:rsidR="00646F92" w:rsidRDefault="007224E3" w:rsidP="00190636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224E3">
              <w:rPr>
                <w:rFonts w:ascii="Arial" w:hAnsi="Arial" w:cs="Arial"/>
              </w:rPr>
              <w:t xml:space="preserve">Are </w:t>
            </w:r>
            <w:proofErr w:type="gramStart"/>
            <w:r w:rsidR="00B11ADE">
              <w:rPr>
                <w:rFonts w:ascii="Arial" w:hAnsi="Arial" w:cs="Arial"/>
              </w:rPr>
              <w:t>all of</w:t>
            </w:r>
            <w:proofErr w:type="gramEnd"/>
            <w:r w:rsidR="00B11ADE">
              <w:rPr>
                <w:rFonts w:ascii="Arial" w:hAnsi="Arial" w:cs="Arial"/>
              </w:rPr>
              <w:t xml:space="preserve"> </w:t>
            </w:r>
            <w:r w:rsidRPr="007224E3">
              <w:rPr>
                <w:rFonts w:ascii="Arial" w:hAnsi="Arial" w:cs="Arial"/>
              </w:rPr>
              <w:t xml:space="preserve">the </w:t>
            </w:r>
            <w:r w:rsidR="00B11ADE">
              <w:rPr>
                <w:rFonts w:ascii="Arial" w:hAnsi="Arial" w:cs="Arial"/>
              </w:rPr>
              <w:t xml:space="preserve">gaming </w:t>
            </w:r>
            <w:r w:rsidRPr="007224E3">
              <w:rPr>
                <w:rFonts w:ascii="Arial" w:hAnsi="Arial" w:cs="Arial"/>
              </w:rPr>
              <w:t xml:space="preserve">machines sited </w:t>
            </w:r>
            <w:r w:rsidR="00B11ADE">
              <w:rPr>
                <w:rFonts w:ascii="Arial" w:hAnsi="Arial" w:cs="Arial"/>
              </w:rPr>
              <w:t xml:space="preserve">permitted to be </w:t>
            </w:r>
            <w:r w:rsidR="002505A5">
              <w:rPr>
                <w:rFonts w:ascii="Arial" w:hAnsi="Arial" w:cs="Arial"/>
              </w:rPr>
              <w:t xml:space="preserve">offered by </w:t>
            </w:r>
            <w:r w:rsidR="00993F30">
              <w:rPr>
                <w:rFonts w:ascii="Arial" w:hAnsi="Arial" w:cs="Arial"/>
              </w:rPr>
              <w:t>one of the following permits or exemptions?</w:t>
            </w:r>
            <w:r w:rsidR="009E4B5E">
              <w:rPr>
                <w:rFonts w:ascii="Arial" w:hAnsi="Arial" w:cs="Arial"/>
              </w:rPr>
              <w:t xml:space="preserve">  (See notes below)</w:t>
            </w:r>
          </w:p>
          <w:p w14:paraId="750F0FAD" w14:textId="77777777" w:rsidR="00BF2C66" w:rsidRPr="00107D30" w:rsidRDefault="00BF2C66" w:rsidP="00BF2C66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5DD94513" w14:textId="77777777" w:rsidR="00472878" w:rsidRPr="006966C4" w:rsidRDefault="00472878" w:rsidP="00472878">
            <w:pPr>
              <w:rPr>
                <w:rFonts w:ascii="Arial" w:hAnsi="Arial" w:cs="Arial"/>
              </w:rPr>
            </w:pPr>
          </w:p>
        </w:tc>
      </w:tr>
      <w:tr w:rsidR="00B876C5" w:rsidRPr="006966C4" w14:paraId="56BAB68F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91B8750" w14:textId="77777777" w:rsidR="00B876C5" w:rsidRPr="005A2AD6" w:rsidRDefault="00B876C5" w:rsidP="00B876C5">
            <w:pPr>
              <w:pStyle w:val="NoSpacing"/>
              <w:rPr>
                <w:rFonts w:ascii="Arial" w:hAnsi="Arial" w:cs="Arial"/>
                <w:b/>
              </w:rPr>
            </w:pPr>
            <w:r w:rsidRPr="00B876C5">
              <w:rPr>
                <w:rFonts w:ascii="Arial" w:hAnsi="Arial" w:cs="Arial"/>
                <w:b/>
              </w:rPr>
              <w:t>Notes</w:t>
            </w:r>
          </w:p>
          <w:p w14:paraId="1022E4E7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2D7BB3">
              <w:rPr>
                <w:rFonts w:ascii="Arial" w:hAnsi="Arial" w:cs="Arial"/>
                <w:u w:val="single"/>
              </w:rPr>
              <w:t>Automatic Entitlement</w:t>
            </w:r>
            <w:r>
              <w:rPr>
                <w:rFonts w:ascii="Arial" w:hAnsi="Arial" w:cs="Arial"/>
              </w:rPr>
              <w:t xml:space="preserve"> – 1 or 2 Machines of Category C or D (GA05 Section 282)</w:t>
            </w:r>
          </w:p>
          <w:p w14:paraId="25B4276B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0A606B">
              <w:rPr>
                <w:rFonts w:ascii="Arial" w:hAnsi="Arial" w:cs="Arial"/>
                <w:u w:val="single"/>
              </w:rPr>
              <w:t>Licensed Premises Gaming Machine Permit</w:t>
            </w:r>
            <w:r>
              <w:rPr>
                <w:rFonts w:ascii="Arial" w:hAnsi="Arial" w:cs="Arial"/>
              </w:rPr>
              <w:t xml:space="preserve"> – Category C or D Machines as specified on the permit (GA05 Section 283)</w:t>
            </w:r>
          </w:p>
          <w:p w14:paraId="0B5901E0" w14:textId="77777777" w:rsidR="00B876C5" w:rsidRDefault="00B876C5" w:rsidP="00B876C5">
            <w:pPr>
              <w:pStyle w:val="NoSpacing"/>
              <w:rPr>
                <w:rFonts w:ascii="Arial" w:hAnsi="Arial" w:cs="Arial"/>
                <w:u w:val="single"/>
              </w:rPr>
            </w:pPr>
            <w:r w:rsidRPr="000A606B">
              <w:rPr>
                <w:rFonts w:ascii="Arial" w:hAnsi="Arial" w:cs="Arial"/>
                <w:u w:val="single"/>
              </w:rPr>
              <w:t>Club Gaming Permit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D724B5">
              <w:rPr>
                <w:rFonts w:ascii="Arial" w:hAnsi="Arial" w:cs="Arial"/>
              </w:rPr>
              <w:t xml:space="preserve">– Up to three </w:t>
            </w:r>
            <w:r w:rsidRPr="00B7112B">
              <w:rPr>
                <w:rFonts w:ascii="Arial" w:hAnsi="Arial" w:cs="Arial"/>
              </w:rPr>
              <w:t>Category B4, C or D Machines (GA05 Section 271).  Only one of the machines can be Category B3.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70A9A538" w14:textId="77777777" w:rsidR="00B876C5" w:rsidRPr="000A606B" w:rsidRDefault="00B876C5" w:rsidP="00B876C5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Club Machine Permit </w:t>
            </w:r>
            <w:r w:rsidRPr="00D724B5">
              <w:rPr>
                <w:rFonts w:ascii="Arial" w:hAnsi="Arial" w:cs="Arial"/>
              </w:rPr>
              <w:t>- Up to three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B7112B">
              <w:rPr>
                <w:rFonts w:ascii="Arial" w:hAnsi="Arial" w:cs="Arial"/>
              </w:rPr>
              <w:t>Category B4, C or D Machines (GA05 Section 271) One of the machines can be Category B3</w:t>
            </w:r>
            <w:r>
              <w:rPr>
                <w:rFonts w:ascii="Arial" w:hAnsi="Arial" w:cs="Arial"/>
              </w:rPr>
              <w:t>, but only</w:t>
            </w:r>
            <w:r w:rsidRPr="00B7112B">
              <w:rPr>
                <w:rFonts w:ascii="Arial" w:hAnsi="Arial" w:cs="Arial"/>
              </w:rPr>
              <w:t xml:space="preserve"> if it is a members’ club</w:t>
            </w:r>
            <w:r>
              <w:rPr>
                <w:rFonts w:ascii="Arial" w:hAnsi="Arial" w:cs="Arial"/>
              </w:rPr>
              <w:t>.</w:t>
            </w:r>
          </w:p>
          <w:p w14:paraId="3734540C" w14:textId="77777777" w:rsidR="00B876C5" w:rsidRPr="00B7112B" w:rsidRDefault="00B876C5" w:rsidP="00B876C5">
            <w:pPr>
              <w:pStyle w:val="NoSpacing"/>
              <w:rPr>
                <w:rFonts w:ascii="Arial" w:hAnsi="Arial" w:cs="Arial"/>
                <w:u w:val="single"/>
              </w:rPr>
            </w:pPr>
            <w:r w:rsidRPr="00B7112B">
              <w:rPr>
                <w:rFonts w:ascii="Arial" w:hAnsi="Arial" w:cs="Arial"/>
                <w:u w:val="single"/>
              </w:rPr>
              <w:t>Travelling Fairs</w:t>
            </w:r>
          </w:p>
          <w:p w14:paraId="6D893031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or more Category D Machines can be made available without a permit providing that they amount to no more than ancillary amusement.  (GA05 Section 287)</w:t>
            </w:r>
          </w:p>
          <w:p w14:paraId="430AADDA" w14:textId="77777777" w:rsidR="00B876C5" w:rsidRDefault="00B876C5" w:rsidP="00B876C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0BBC6D53" w14:textId="77777777" w:rsidR="00B876C5" w:rsidRPr="006966C4" w:rsidRDefault="00B876C5" w:rsidP="00D72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case of pubs and </w:t>
            </w:r>
            <w:r w:rsidR="00D724B5">
              <w:rPr>
                <w:rFonts w:ascii="Arial" w:hAnsi="Arial" w:cs="Arial"/>
              </w:rPr>
              <w:t>proprietary</w:t>
            </w:r>
            <w:r>
              <w:rPr>
                <w:rFonts w:ascii="Arial" w:hAnsi="Arial" w:cs="Arial"/>
              </w:rPr>
              <w:t xml:space="preserve"> clubs, check that the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 xml:space="preserve">/ permit holder is correct and matches </w:t>
            </w:r>
            <w:r w:rsidR="00D724B5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of the Licensing Act 2003 premises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</w:p>
        </w:tc>
      </w:tr>
      <w:tr w:rsidR="007224E3" w:rsidRPr="006966C4" w14:paraId="71047EC9" w14:textId="77777777" w:rsidTr="00472878">
        <w:tc>
          <w:tcPr>
            <w:tcW w:w="4337" w:type="dxa"/>
            <w:vAlign w:val="center"/>
          </w:tcPr>
          <w:p w14:paraId="53FA68A2" w14:textId="77777777" w:rsidR="007224E3" w:rsidRDefault="00361469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Multiple permits</w:t>
            </w:r>
          </w:p>
          <w:p w14:paraId="488D0324" w14:textId="77777777" w:rsidR="00361469" w:rsidRDefault="00361469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64BE5252" w14:textId="77777777" w:rsidR="00361469" w:rsidRPr="00361469" w:rsidRDefault="00361469" w:rsidP="00361469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61469">
              <w:rPr>
                <w:rFonts w:ascii="Arial" w:hAnsi="Arial" w:cs="Arial"/>
              </w:rPr>
              <w:t>Is there more than one permit in place?</w:t>
            </w:r>
          </w:p>
          <w:p w14:paraId="7468F03F" w14:textId="77777777" w:rsidR="007224E3" w:rsidRPr="007224E3" w:rsidRDefault="007224E3" w:rsidP="00B876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78D5A6A1" w14:textId="77777777" w:rsidR="007224E3" w:rsidRDefault="007224E3" w:rsidP="00472878">
            <w:pPr>
              <w:rPr>
                <w:rFonts w:ascii="Arial" w:hAnsi="Arial" w:cs="Arial"/>
              </w:rPr>
            </w:pPr>
          </w:p>
          <w:p w14:paraId="37667788" w14:textId="77777777" w:rsidR="002505A5" w:rsidRPr="006966C4" w:rsidRDefault="002505A5" w:rsidP="00472878">
            <w:pPr>
              <w:rPr>
                <w:rFonts w:ascii="Arial" w:hAnsi="Arial" w:cs="Arial"/>
              </w:rPr>
            </w:pPr>
          </w:p>
        </w:tc>
      </w:tr>
      <w:tr w:rsidR="00B876C5" w:rsidRPr="006966C4" w14:paraId="738C1958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480D1D1" w14:textId="77777777" w:rsidR="00B876C5" w:rsidRPr="005A2AD6" w:rsidRDefault="00B876C5" w:rsidP="00B876C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  <w:p w14:paraId="6CFE0EDF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7224E3">
              <w:rPr>
                <w:rFonts w:ascii="Arial" w:hAnsi="Arial" w:cs="Arial"/>
              </w:rPr>
              <w:t xml:space="preserve">Where a gaming machine permit </w:t>
            </w:r>
            <w:proofErr w:type="spellStart"/>
            <w:r w:rsidRPr="007224E3">
              <w:rPr>
                <w:rFonts w:ascii="Arial" w:hAnsi="Arial" w:cs="Arial"/>
              </w:rPr>
              <w:t>authorises</w:t>
            </w:r>
            <w:proofErr w:type="spellEnd"/>
            <w:r w:rsidRPr="007224E3">
              <w:rPr>
                <w:rFonts w:ascii="Arial" w:hAnsi="Arial" w:cs="Arial"/>
              </w:rPr>
              <w:t xml:space="preserve"> the making available of a specified number of gaming machines in particular premises, this will effectively replace, and not be in addition to, any automatic entitlement to two machines.</w:t>
            </w:r>
          </w:p>
          <w:p w14:paraId="698D79F2" w14:textId="77777777" w:rsidR="00B876C5" w:rsidRPr="006966C4" w:rsidRDefault="00B876C5" w:rsidP="00B876C5">
            <w:pPr>
              <w:pStyle w:val="NoSpacing"/>
              <w:rPr>
                <w:rFonts w:ascii="Arial" w:hAnsi="Arial" w:cs="Arial"/>
              </w:rPr>
            </w:pPr>
          </w:p>
        </w:tc>
      </w:tr>
      <w:tr w:rsidR="00472878" w:rsidRPr="006966C4" w14:paraId="7B05701B" w14:textId="77777777" w:rsidTr="00472878">
        <w:tc>
          <w:tcPr>
            <w:tcW w:w="4337" w:type="dxa"/>
            <w:vAlign w:val="center"/>
          </w:tcPr>
          <w:p w14:paraId="60B53C67" w14:textId="77777777" w:rsidR="00472878" w:rsidRDefault="00472878" w:rsidP="00472878">
            <w:pPr>
              <w:pStyle w:val="NoSpacing"/>
              <w:rPr>
                <w:rFonts w:ascii="Arial" w:hAnsi="Arial" w:cs="Arial"/>
                <w:u w:val="single"/>
              </w:rPr>
            </w:pPr>
            <w:r w:rsidRPr="00C94CF1">
              <w:rPr>
                <w:rFonts w:ascii="Arial" w:hAnsi="Arial" w:cs="Arial"/>
                <w:u w:val="single"/>
              </w:rPr>
              <w:t>Gaming Machine Display Requirements</w:t>
            </w:r>
          </w:p>
          <w:p w14:paraId="23DB29F0" w14:textId="77777777" w:rsidR="00C94CF1" w:rsidRDefault="003D250A" w:rsidP="0047287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2878">
              <w:rPr>
                <w:rFonts w:ascii="Arial" w:hAnsi="Arial" w:cs="Arial"/>
              </w:rPr>
              <w:t>SI 2007 / 2319 and SI 2007 / 2320</w:t>
            </w:r>
            <w:r>
              <w:rPr>
                <w:rFonts w:ascii="Arial" w:hAnsi="Arial" w:cs="Arial"/>
              </w:rPr>
              <w:t>)</w:t>
            </w:r>
          </w:p>
          <w:p w14:paraId="29E4B2F5" w14:textId="77777777" w:rsidR="003D250A" w:rsidRPr="00C94CF1" w:rsidRDefault="003D250A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45B22184" w14:textId="77777777" w:rsidR="003D250A" w:rsidRPr="00107D30" w:rsidRDefault="00993F30" w:rsidP="00107D3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gaming machine </w:t>
            </w:r>
            <w:proofErr w:type="gramStart"/>
            <w:r>
              <w:rPr>
                <w:rFonts w:ascii="Arial" w:hAnsi="Arial" w:cs="Arial"/>
              </w:rPr>
              <w:t>display:</w:t>
            </w:r>
            <w:proofErr w:type="gramEnd"/>
          </w:p>
          <w:p w14:paraId="5DBCADDA" w14:textId="77777777" w:rsidR="00472878" w:rsidRPr="00472878" w:rsidRDefault="00C94CF1" w:rsidP="00993F3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category it is</w:t>
            </w:r>
            <w:r w:rsidR="00993F30">
              <w:rPr>
                <w:rFonts w:ascii="Arial" w:hAnsi="Arial" w:cs="Arial"/>
              </w:rPr>
              <w:t>?</w:t>
            </w:r>
            <w:r w:rsidR="00BC4CA9">
              <w:rPr>
                <w:rFonts w:ascii="Arial" w:hAnsi="Arial" w:cs="Arial"/>
              </w:rPr>
              <w:t xml:space="preserve">  (Either displayed on the cabinet or within the machine software)</w:t>
            </w:r>
          </w:p>
          <w:p w14:paraId="2A66696D" w14:textId="77777777" w:rsidR="00472878" w:rsidRPr="00472878" w:rsidRDefault="00C94CF1" w:rsidP="00993F3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72878" w:rsidRPr="00472878">
              <w:rPr>
                <w:rFonts w:ascii="Arial" w:hAnsi="Arial" w:cs="Arial"/>
              </w:rPr>
              <w:t>he name and telephone number for assistance with problem gambling</w:t>
            </w:r>
            <w:r w:rsidR="00993F30">
              <w:rPr>
                <w:rFonts w:ascii="Arial" w:hAnsi="Arial" w:cs="Arial"/>
              </w:rPr>
              <w:t>?</w:t>
            </w:r>
          </w:p>
          <w:p w14:paraId="35E73D49" w14:textId="77777777" w:rsidR="00C94CF1" w:rsidRDefault="00C94CF1" w:rsidP="00993F3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</w:t>
            </w:r>
            <w:r w:rsidR="00472878" w:rsidRPr="00472878">
              <w:rPr>
                <w:rFonts w:ascii="Arial" w:hAnsi="Arial" w:cs="Arial"/>
              </w:rPr>
              <w:t>the machine is not to be used by</w:t>
            </w:r>
            <w:r w:rsidR="00B425DC">
              <w:rPr>
                <w:rFonts w:ascii="Arial" w:hAnsi="Arial" w:cs="Arial"/>
              </w:rPr>
              <w:t xml:space="preserve"> child / young person </w:t>
            </w:r>
            <w:r w:rsidR="00361469">
              <w:rPr>
                <w:rFonts w:ascii="Arial" w:hAnsi="Arial" w:cs="Arial"/>
              </w:rPr>
              <w:t>(</w:t>
            </w:r>
            <w:r w:rsidR="00B425DC">
              <w:rPr>
                <w:rFonts w:ascii="Arial" w:hAnsi="Arial" w:cs="Arial"/>
              </w:rPr>
              <w:t>unless it’</w:t>
            </w:r>
            <w:r w:rsidR="00361469">
              <w:rPr>
                <w:rFonts w:ascii="Arial" w:hAnsi="Arial" w:cs="Arial"/>
              </w:rPr>
              <w:t>s a category D)</w:t>
            </w:r>
            <w:r w:rsidR="00993F30">
              <w:rPr>
                <w:rFonts w:ascii="Arial" w:hAnsi="Arial" w:cs="Arial"/>
              </w:rPr>
              <w:t>?</w:t>
            </w:r>
          </w:p>
          <w:p w14:paraId="0326E653" w14:textId="77777777" w:rsidR="00472878" w:rsidRDefault="00C94CF1" w:rsidP="0047287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Percentage </w:t>
            </w:r>
            <w:r w:rsidR="00993F30">
              <w:rPr>
                <w:rFonts w:ascii="Arial" w:hAnsi="Arial" w:cs="Arial"/>
              </w:rPr>
              <w:t>return to player?</w:t>
            </w:r>
          </w:p>
          <w:p w14:paraId="065EB89A" w14:textId="77777777" w:rsidR="003D250A" w:rsidRPr="003D250A" w:rsidRDefault="003D250A" w:rsidP="003D250A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7ADC9322" w14:textId="77777777" w:rsidR="00472878" w:rsidRPr="006966C4" w:rsidRDefault="00472878" w:rsidP="00472878">
            <w:pPr>
              <w:rPr>
                <w:rFonts w:ascii="Arial" w:hAnsi="Arial" w:cs="Arial"/>
              </w:rPr>
            </w:pPr>
          </w:p>
        </w:tc>
      </w:tr>
      <w:tr w:rsidR="000D2AE9" w:rsidRPr="006966C4" w14:paraId="201677A2" w14:textId="77777777" w:rsidTr="000D2AE9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AAABAF7" w14:textId="77777777" w:rsidR="005A2AD6" w:rsidRPr="005A2AD6" w:rsidRDefault="000D2AE9" w:rsidP="005A2AD6">
            <w:pPr>
              <w:pStyle w:val="NoSpacing"/>
              <w:rPr>
                <w:rFonts w:ascii="Arial" w:hAnsi="Arial" w:cs="Arial"/>
                <w:b/>
              </w:rPr>
            </w:pPr>
            <w:r w:rsidRPr="005A2AD6">
              <w:rPr>
                <w:rFonts w:ascii="Arial" w:hAnsi="Arial" w:cs="Arial"/>
                <w:b/>
              </w:rPr>
              <w:t>Notes</w:t>
            </w:r>
          </w:p>
          <w:p w14:paraId="22D352A6" w14:textId="77777777" w:rsidR="000D2AE9" w:rsidRPr="000D2AE9" w:rsidRDefault="000D2AE9" w:rsidP="000D2AE9">
            <w:pPr>
              <w:pStyle w:val="NoSpacing"/>
              <w:rPr>
                <w:rFonts w:ascii="Arial" w:hAnsi="Arial" w:cs="Arial"/>
              </w:rPr>
            </w:pPr>
            <w:r w:rsidRPr="005A2AD6">
              <w:rPr>
                <w:rFonts w:ascii="Arial" w:hAnsi="Arial" w:cs="Arial"/>
              </w:rPr>
              <w:t xml:space="preserve">It is the responsibility of the business owner to ensure </w:t>
            </w:r>
            <w:r w:rsidR="008B1BEF">
              <w:rPr>
                <w:rFonts w:ascii="Arial" w:hAnsi="Arial" w:cs="Arial"/>
              </w:rPr>
              <w:t xml:space="preserve">that </w:t>
            </w:r>
            <w:r w:rsidRPr="005A2AD6">
              <w:rPr>
                <w:rFonts w:ascii="Arial" w:hAnsi="Arial" w:cs="Arial"/>
              </w:rPr>
              <w:t xml:space="preserve">the machine meets the regulatory requirements prior to making them </w:t>
            </w:r>
            <w:r w:rsidRPr="008B1BEF">
              <w:rPr>
                <w:rFonts w:ascii="Arial" w:hAnsi="Arial" w:cs="Arial"/>
              </w:rPr>
              <w:t>available for use</w:t>
            </w:r>
            <w:r w:rsidR="00D724B5">
              <w:rPr>
                <w:rFonts w:ascii="Arial" w:hAnsi="Arial" w:cs="Arial"/>
              </w:rPr>
              <w:t xml:space="preserve"> to the public</w:t>
            </w:r>
            <w:r w:rsidRPr="005A2AD6">
              <w:rPr>
                <w:rFonts w:ascii="Arial" w:hAnsi="Arial" w:cs="Arial"/>
              </w:rPr>
              <w:t xml:space="preserve"> </w:t>
            </w:r>
            <w:r w:rsidR="00D724B5">
              <w:rPr>
                <w:rFonts w:ascii="Arial" w:hAnsi="Arial" w:cs="Arial"/>
              </w:rPr>
              <w:t>(</w:t>
            </w:r>
            <w:r w:rsidR="00BF0E68">
              <w:rPr>
                <w:rFonts w:ascii="Arial" w:hAnsi="Arial" w:cs="Arial"/>
              </w:rPr>
              <w:t>to avoid</w:t>
            </w:r>
            <w:r w:rsidR="008B1BEF">
              <w:rPr>
                <w:rFonts w:ascii="Arial" w:hAnsi="Arial" w:cs="Arial"/>
              </w:rPr>
              <w:t xml:space="preserve"> contravention of re</w:t>
            </w:r>
            <w:r w:rsidR="00500279">
              <w:rPr>
                <w:rFonts w:ascii="Arial" w:hAnsi="Arial" w:cs="Arial"/>
              </w:rPr>
              <w:t>gulations under GA05 Section 240</w:t>
            </w:r>
            <w:r w:rsidR="00D724B5">
              <w:rPr>
                <w:rFonts w:ascii="Arial" w:hAnsi="Arial" w:cs="Arial"/>
              </w:rPr>
              <w:t>).  Should a machine fail</w:t>
            </w:r>
            <w:r w:rsidRPr="005A2AD6">
              <w:rPr>
                <w:rFonts w:ascii="Arial" w:hAnsi="Arial" w:cs="Arial"/>
              </w:rPr>
              <w:t xml:space="preserve"> to meet the requirements above, it is the business owner and not the machine supplier that is liable for this failure.</w:t>
            </w:r>
          </w:p>
        </w:tc>
      </w:tr>
      <w:tr w:rsidR="00955A23" w:rsidRPr="006966C4" w14:paraId="7213A610" w14:textId="77777777" w:rsidTr="00472878">
        <w:tc>
          <w:tcPr>
            <w:tcW w:w="4337" w:type="dxa"/>
            <w:vAlign w:val="center"/>
          </w:tcPr>
          <w:p w14:paraId="18F846B7" w14:textId="77777777" w:rsidR="00955A23" w:rsidRDefault="0014089C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Skill </w:t>
            </w:r>
            <w:proofErr w:type="gramStart"/>
            <w:r>
              <w:rPr>
                <w:rFonts w:ascii="Arial" w:hAnsi="Arial" w:cs="Arial"/>
                <w:u w:val="single"/>
              </w:rPr>
              <w:t>W</w:t>
            </w:r>
            <w:r w:rsidR="00955A23">
              <w:rPr>
                <w:rFonts w:ascii="Arial" w:hAnsi="Arial" w:cs="Arial"/>
                <w:u w:val="single"/>
              </w:rPr>
              <w:t>ith</w:t>
            </w:r>
            <w:proofErr w:type="gramEnd"/>
            <w:r w:rsidR="00955A23">
              <w:rPr>
                <w:rFonts w:ascii="Arial" w:hAnsi="Arial" w:cs="Arial"/>
                <w:u w:val="single"/>
              </w:rPr>
              <w:t xml:space="preserve"> Prize Machines</w:t>
            </w:r>
            <w:r w:rsidR="000D2AE9">
              <w:rPr>
                <w:rFonts w:ascii="Arial" w:hAnsi="Arial" w:cs="Arial"/>
                <w:u w:val="single"/>
              </w:rPr>
              <w:t xml:space="preserve"> (SWPs)</w:t>
            </w:r>
          </w:p>
          <w:p w14:paraId="07BD8B30" w14:textId="77777777" w:rsidR="00955A23" w:rsidRDefault="00955A23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0D916677" w14:textId="77777777" w:rsidR="00BA2080" w:rsidRDefault="00BA2080" w:rsidP="003124A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2080">
              <w:rPr>
                <w:rFonts w:ascii="Arial" w:hAnsi="Arial" w:cs="Arial"/>
              </w:rPr>
              <w:t>Wha</w:t>
            </w:r>
            <w:r w:rsidR="00190636">
              <w:rPr>
                <w:rFonts w:ascii="Arial" w:hAnsi="Arial" w:cs="Arial"/>
              </w:rPr>
              <w:t>t are the prize and stake limits</w:t>
            </w:r>
            <w:r w:rsidRPr="00BA2080">
              <w:rPr>
                <w:rFonts w:ascii="Arial" w:hAnsi="Arial" w:cs="Arial"/>
              </w:rPr>
              <w:t>?</w:t>
            </w:r>
          </w:p>
          <w:p w14:paraId="1E149549" w14:textId="77777777" w:rsidR="00B908D1" w:rsidRPr="00955A23" w:rsidRDefault="00B908D1" w:rsidP="00B876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16AFD1E3" w14:textId="77777777" w:rsidR="00955A23" w:rsidRPr="006966C4" w:rsidRDefault="00955A23" w:rsidP="00472878">
            <w:pPr>
              <w:rPr>
                <w:rFonts w:ascii="Arial" w:hAnsi="Arial" w:cs="Arial"/>
              </w:rPr>
            </w:pPr>
          </w:p>
        </w:tc>
      </w:tr>
      <w:tr w:rsidR="00B876C5" w:rsidRPr="006966C4" w14:paraId="2A10D6C0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6D6A148" w14:textId="77777777" w:rsidR="00B876C5" w:rsidRPr="005A2AD6" w:rsidRDefault="00B876C5" w:rsidP="00B876C5">
            <w:pPr>
              <w:pStyle w:val="NoSpacing"/>
              <w:rPr>
                <w:rFonts w:ascii="Arial" w:hAnsi="Arial" w:cs="Arial"/>
                <w:b/>
              </w:rPr>
            </w:pPr>
            <w:r w:rsidRPr="00B876C5">
              <w:rPr>
                <w:rFonts w:ascii="Arial" w:hAnsi="Arial" w:cs="Arial"/>
                <w:b/>
              </w:rPr>
              <w:t>Notes</w:t>
            </w:r>
          </w:p>
          <w:p w14:paraId="22F62F89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955A23">
              <w:rPr>
                <w:rFonts w:ascii="Arial" w:hAnsi="Arial" w:cs="Arial"/>
              </w:rPr>
              <w:t>There are no statutory limits for Skill with Prize Machines</w:t>
            </w:r>
            <w:r>
              <w:rPr>
                <w:rFonts w:ascii="Arial" w:hAnsi="Arial" w:cs="Arial"/>
              </w:rPr>
              <w:t>.  However, the view of the Gambling Commission and HMRC is that machines are unlikely to be genuine games of skill if the prize exceeds £50.</w:t>
            </w:r>
            <w:r w:rsidR="00F514A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Genuine </w:t>
            </w:r>
            <w:r w:rsidR="000D2AE9">
              <w:rPr>
                <w:rFonts w:ascii="Arial" w:hAnsi="Arial" w:cs="Arial"/>
              </w:rPr>
              <w:t xml:space="preserve">SWPs </w:t>
            </w:r>
            <w:r>
              <w:rPr>
                <w:rFonts w:ascii="Arial" w:hAnsi="Arial" w:cs="Arial"/>
              </w:rPr>
              <w:t xml:space="preserve">do not require </w:t>
            </w:r>
            <w:proofErr w:type="spellStart"/>
            <w:r>
              <w:rPr>
                <w:rFonts w:ascii="Arial" w:hAnsi="Arial" w:cs="Arial"/>
              </w:rPr>
              <w:t>authorisation</w:t>
            </w:r>
            <w:proofErr w:type="spellEnd"/>
            <w:r>
              <w:rPr>
                <w:rFonts w:ascii="Arial" w:hAnsi="Arial" w:cs="Arial"/>
              </w:rPr>
              <w:t xml:space="preserve"> under the GA05.</w:t>
            </w:r>
          </w:p>
          <w:p w14:paraId="598A4F4B" w14:textId="77777777" w:rsidR="00B876C5" w:rsidRPr="006966C4" w:rsidRDefault="00B876C5" w:rsidP="00B876C5">
            <w:pPr>
              <w:pStyle w:val="NoSpacing"/>
              <w:rPr>
                <w:rFonts w:ascii="Arial" w:hAnsi="Arial" w:cs="Arial"/>
              </w:rPr>
            </w:pPr>
          </w:p>
        </w:tc>
      </w:tr>
      <w:tr w:rsidR="00C04201" w:rsidRPr="006966C4" w14:paraId="31C97E93" w14:textId="77777777" w:rsidTr="0014089C">
        <w:tc>
          <w:tcPr>
            <w:tcW w:w="4337" w:type="dxa"/>
            <w:vAlign w:val="center"/>
          </w:tcPr>
          <w:p w14:paraId="630B49CE" w14:textId="77777777" w:rsidR="00C04201" w:rsidRPr="00C94CF1" w:rsidRDefault="00FD6FFE" w:rsidP="0014089C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SWP – </w:t>
            </w:r>
            <w:r w:rsidR="00C04201" w:rsidRPr="00C94CF1">
              <w:rPr>
                <w:rFonts w:ascii="Arial" w:hAnsi="Arial" w:cs="Arial"/>
                <w:u w:val="single"/>
              </w:rPr>
              <w:t>gaming machine software</w:t>
            </w:r>
          </w:p>
          <w:p w14:paraId="431B5DAB" w14:textId="77777777" w:rsidR="00C04201" w:rsidRPr="00472878" w:rsidRDefault="00C04201" w:rsidP="0014089C">
            <w:pPr>
              <w:pStyle w:val="NoSpacing"/>
              <w:rPr>
                <w:rFonts w:ascii="Arial" w:hAnsi="Arial" w:cs="Arial"/>
              </w:rPr>
            </w:pPr>
          </w:p>
          <w:p w14:paraId="0BE5504D" w14:textId="77777777" w:rsidR="00C04201" w:rsidRDefault="00C04201" w:rsidP="0014089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72878">
              <w:rPr>
                <w:rFonts w:ascii="Arial" w:hAnsi="Arial" w:cs="Arial"/>
              </w:rPr>
              <w:t xml:space="preserve">If Skill with Prizes machines are available at the premises, </w:t>
            </w:r>
            <w:r>
              <w:rPr>
                <w:rFonts w:ascii="Arial" w:hAnsi="Arial" w:cs="Arial"/>
              </w:rPr>
              <w:t>are there category C or D machines included within the software?</w:t>
            </w:r>
          </w:p>
          <w:p w14:paraId="77465204" w14:textId="77777777" w:rsidR="00C04201" w:rsidRPr="007A787E" w:rsidRDefault="00C04201" w:rsidP="0014089C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5FC55E8F" w14:textId="77777777" w:rsidR="00C04201" w:rsidRPr="006966C4" w:rsidRDefault="00C04201" w:rsidP="0014089C">
            <w:pPr>
              <w:rPr>
                <w:rFonts w:ascii="Arial" w:hAnsi="Arial" w:cs="Arial"/>
              </w:rPr>
            </w:pPr>
          </w:p>
        </w:tc>
      </w:tr>
      <w:tr w:rsidR="00C04201" w:rsidRPr="006966C4" w14:paraId="05265DF8" w14:textId="77777777" w:rsidTr="0014089C">
        <w:trPr>
          <w:trHeight w:val="1238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A099317" w14:textId="77777777" w:rsidR="00C04201" w:rsidRPr="005A2AD6" w:rsidRDefault="00C04201" w:rsidP="0014089C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 w:rsidRPr="005A2AD6">
              <w:rPr>
                <w:rFonts w:ascii="Arial" w:hAnsi="Arial" w:cs="Arial"/>
                <w:b/>
              </w:rPr>
              <w:t>Notes</w:t>
            </w:r>
          </w:p>
          <w:p w14:paraId="7C5C89FB" w14:textId="77777777" w:rsidR="00C04201" w:rsidRPr="006966C4" w:rsidRDefault="00FD6FFE" w:rsidP="0014089C">
            <w:pPr>
              <w:pStyle w:val="NoSpacing"/>
            </w:pPr>
            <w:r>
              <w:rPr>
                <w:rFonts w:ascii="Arial" w:hAnsi="Arial" w:cs="Arial"/>
              </w:rPr>
              <w:t xml:space="preserve">If there is gaming machine software within the machine, it </w:t>
            </w:r>
            <w:r w:rsidR="00C04201" w:rsidRPr="005A2AD6">
              <w:rPr>
                <w:rFonts w:ascii="Arial" w:hAnsi="Arial" w:cs="Arial"/>
              </w:rPr>
              <w:t>will be defined as the highest category of machine made available through the software and should be labelled as such</w:t>
            </w:r>
            <w:r w:rsidR="00C04201">
              <w:t>.</w:t>
            </w:r>
          </w:p>
        </w:tc>
      </w:tr>
      <w:tr w:rsidR="00311A17" w:rsidRPr="006966C4" w14:paraId="4820155A" w14:textId="77777777" w:rsidTr="00472878">
        <w:tc>
          <w:tcPr>
            <w:tcW w:w="4337" w:type="dxa"/>
            <w:vAlign w:val="center"/>
          </w:tcPr>
          <w:p w14:paraId="2BEFA945" w14:textId="77777777" w:rsidR="00311A17" w:rsidRDefault="00311A17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Crane Grab Machines</w:t>
            </w:r>
          </w:p>
          <w:p w14:paraId="243D7C0F" w14:textId="77777777" w:rsidR="00311A17" w:rsidRDefault="00311A17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65CD0392" w14:textId="77777777" w:rsidR="00361469" w:rsidRDefault="00361469" w:rsidP="00014CB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machine correctly </w:t>
            </w:r>
            <w:proofErr w:type="spellStart"/>
            <w:r>
              <w:rPr>
                <w:rFonts w:ascii="Arial" w:hAnsi="Arial" w:cs="Arial"/>
              </w:rPr>
              <w:t>categorised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50ED3C1" w14:textId="77777777" w:rsidR="003133FD" w:rsidRPr="003133FD" w:rsidRDefault="003133FD" w:rsidP="00B876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24DE532E" w14:textId="77777777" w:rsidR="00311A17" w:rsidRDefault="00311A17" w:rsidP="00472878">
            <w:pPr>
              <w:rPr>
                <w:rFonts w:ascii="Arial" w:hAnsi="Arial" w:cs="Arial"/>
              </w:rPr>
            </w:pPr>
          </w:p>
          <w:p w14:paraId="0029CACE" w14:textId="77777777" w:rsidR="0034112F" w:rsidRDefault="0034112F" w:rsidP="00472878">
            <w:pPr>
              <w:rPr>
                <w:rFonts w:ascii="Arial" w:hAnsi="Arial" w:cs="Arial"/>
              </w:rPr>
            </w:pPr>
          </w:p>
          <w:p w14:paraId="5E55F210" w14:textId="77777777" w:rsidR="0034112F" w:rsidRDefault="0034112F" w:rsidP="00472878">
            <w:pPr>
              <w:rPr>
                <w:rFonts w:ascii="Arial" w:hAnsi="Arial" w:cs="Arial"/>
              </w:rPr>
            </w:pPr>
          </w:p>
          <w:p w14:paraId="2234369E" w14:textId="77777777" w:rsidR="0034112F" w:rsidRPr="006966C4" w:rsidRDefault="0034112F" w:rsidP="00472878">
            <w:pPr>
              <w:rPr>
                <w:rFonts w:ascii="Arial" w:hAnsi="Arial" w:cs="Arial"/>
              </w:rPr>
            </w:pPr>
          </w:p>
        </w:tc>
      </w:tr>
      <w:tr w:rsidR="00B876C5" w:rsidRPr="006966C4" w14:paraId="5CBA1A9B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1E00241" w14:textId="77777777" w:rsidR="00B876C5" w:rsidRPr="005A2AD6" w:rsidRDefault="00B876C5" w:rsidP="00B876C5">
            <w:pPr>
              <w:pStyle w:val="NoSpacing"/>
              <w:rPr>
                <w:rFonts w:ascii="Arial" w:hAnsi="Arial" w:cs="Arial"/>
                <w:b/>
              </w:rPr>
            </w:pPr>
            <w:r w:rsidRPr="00B876C5">
              <w:rPr>
                <w:rFonts w:ascii="Arial" w:hAnsi="Arial" w:cs="Arial"/>
                <w:b/>
              </w:rPr>
              <w:t>Notes</w:t>
            </w:r>
          </w:p>
          <w:p w14:paraId="59C321F2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3133FD">
              <w:rPr>
                <w:rFonts w:ascii="Arial" w:hAnsi="Arial" w:cs="Arial"/>
              </w:rPr>
              <w:t>Certain types of crane machine with a £1 stake and £50 non-monetary prize should be labelled as category D non-complex crane grab machines.</w:t>
            </w:r>
            <w:r>
              <w:rPr>
                <w:rFonts w:ascii="Arial" w:hAnsi="Arial" w:cs="Arial"/>
              </w:rPr>
              <w:t xml:space="preserve">  </w:t>
            </w:r>
          </w:p>
          <w:p w14:paraId="2DFA32CE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</w:p>
          <w:p w14:paraId="727BE645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Such machines which are </w:t>
            </w:r>
            <w:r w:rsidRPr="003133FD">
              <w:rPr>
                <w:rFonts w:ascii="Arial" w:hAnsi="Arial" w:cs="Arial"/>
                <w:b/>
                <w:u w:val="single"/>
              </w:rPr>
              <w:t>capable</w:t>
            </w:r>
            <w:r>
              <w:rPr>
                <w:rFonts w:ascii="Arial" w:hAnsi="Arial" w:cs="Arial"/>
              </w:rPr>
              <w:t xml:space="preserve"> of being used as gaming machine are classified as a gaming machine.  If the machine is fitted with a ‘compensator’ which determines the percentage payout, it must be clearly marked as a gaming machine and only sited in premises with the necessary permissions for Category D machines.  (Gambling Act section 235)</w:t>
            </w:r>
          </w:p>
          <w:p w14:paraId="163DD251" w14:textId="77777777" w:rsidR="00B876C5" w:rsidRPr="006966C4" w:rsidRDefault="00B876C5" w:rsidP="00B876C5">
            <w:pPr>
              <w:pStyle w:val="NoSpacing"/>
              <w:rPr>
                <w:rFonts w:ascii="Arial" w:hAnsi="Arial" w:cs="Arial"/>
              </w:rPr>
            </w:pPr>
          </w:p>
        </w:tc>
      </w:tr>
      <w:tr w:rsidR="00B425DC" w:rsidRPr="006966C4" w14:paraId="41384CE7" w14:textId="77777777" w:rsidTr="00472878">
        <w:tc>
          <w:tcPr>
            <w:tcW w:w="4337" w:type="dxa"/>
            <w:vAlign w:val="center"/>
          </w:tcPr>
          <w:p w14:paraId="6A9B9A73" w14:textId="77777777" w:rsidR="00B425DC" w:rsidRDefault="00B425DC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Poker Machines</w:t>
            </w:r>
          </w:p>
          <w:p w14:paraId="6E812E6D" w14:textId="77777777" w:rsidR="00993F30" w:rsidRDefault="00993F30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6CDF0714" w14:textId="77777777" w:rsidR="00993F30" w:rsidRPr="00993F30" w:rsidRDefault="00993F30" w:rsidP="00993F3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93F30">
              <w:rPr>
                <w:rFonts w:ascii="Arial" w:hAnsi="Arial" w:cs="Arial"/>
              </w:rPr>
              <w:t>Does the machine offer poker?</w:t>
            </w:r>
          </w:p>
          <w:p w14:paraId="431F714B" w14:textId="77777777" w:rsidR="003124A3" w:rsidRPr="009B44ED" w:rsidRDefault="003124A3" w:rsidP="00B876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284A1ACC" w14:textId="77777777" w:rsidR="00B425DC" w:rsidRDefault="00B425DC" w:rsidP="00472878">
            <w:pPr>
              <w:rPr>
                <w:rFonts w:ascii="Arial" w:hAnsi="Arial" w:cs="Arial"/>
              </w:rPr>
            </w:pPr>
          </w:p>
          <w:p w14:paraId="3DF2C1B3" w14:textId="77777777" w:rsidR="0034112F" w:rsidRDefault="0034112F" w:rsidP="00472878">
            <w:pPr>
              <w:rPr>
                <w:rFonts w:ascii="Arial" w:hAnsi="Arial" w:cs="Arial"/>
              </w:rPr>
            </w:pPr>
          </w:p>
          <w:p w14:paraId="24FDD5B5" w14:textId="77777777" w:rsidR="0034112F" w:rsidRDefault="0034112F" w:rsidP="00472878">
            <w:pPr>
              <w:rPr>
                <w:rFonts w:ascii="Arial" w:hAnsi="Arial" w:cs="Arial"/>
              </w:rPr>
            </w:pPr>
          </w:p>
          <w:p w14:paraId="38FC46E3" w14:textId="77777777" w:rsidR="0034112F" w:rsidRPr="006966C4" w:rsidRDefault="0034112F" w:rsidP="00472878">
            <w:pPr>
              <w:rPr>
                <w:rFonts w:ascii="Arial" w:hAnsi="Arial" w:cs="Arial"/>
              </w:rPr>
            </w:pPr>
          </w:p>
        </w:tc>
      </w:tr>
      <w:tr w:rsidR="00B876C5" w:rsidRPr="006966C4" w14:paraId="04BA0F79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27EB1CFA" w14:textId="77777777" w:rsidR="00B876C5" w:rsidRDefault="005A2AD6" w:rsidP="00B876C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  <w:p w14:paraId="01C35B3F" w14:textId="77777777" w:rsidR="0034112F" w:rsidRPr="005A2AD6" w:rsidRDefault="0034112F" w:rsidP="00B876C5">
            <w:pPr>
              <w:pStyle w:val="NoSpacing"/>
              <w:rPr>
                <w:rFonts w:ascii="Arial" w:hAnsi="Arial" w:cs="Arial"/>
                <w:b/>
              </w:rPr>
            </w:pPr>
          </w:p>
          <w:p w14:paraId="3E902ABF" w14:textId="77777777" w:rsidR="00B876C5" w:rsidRDefault="00B876C5" w:rsidP="00B876C5">
            <w:pPr>
              <w:pStyle w:val="NoSpacing"/>
              <w:rPr>
                <w:rFonts w:ascii="Arial" w:hAnsi="Arial" w:cs="Arial"/>
              </w:rPr>
            </w:pPr>
            <w:r w:rsidRPr="009B44ED">
              <w:rPr>
                <w:rFonts w:ascii="Arial" w:hAnsi="Arial" w:cs="Arial"/>
              </w:rPr>
              <w:t>Machines offering poker are classed as gaming machines regardless of the prize</w:t>
            </w:r>
            <w:r>
              <w:rPr>
                <w:rFonts w:ascii="Arial" w:hAnsi="Arial" w:cs="Arial"/>
              </w:rPr>
              <w:t>.</w:t>
            </w:r>
            <w:r w:rsidR="006107F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Poker is a game of chance and machines presenting games of chance are gaming machines.  Therefore, a permit or </w:t>
            </w:r>
            <w:proofErr w:type="spellStart"/>
            <w:r>
              <w:rPr>
                <w:rFonts w:ascii="Arial" w:hAnsi="Arial" w:cs="Arial"/>
              </w:rPr>
              <w:t>licence</w:t>
            </w:r>
            <w:proofErr w:type="spellEnd"/>
            <w:r>
              <w:rPr>
                <w:rFonts w:ascii="Arial" w:hAnsi="Arial" w:cs="Arial"/>
              </w:rPr>
              <w:t xml:space="preserve"> must be in place to site a poker machine.</w:t>
            </w:r>
            <w:r w:rsidR="006107F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Poker machines should be </w:t>
            </w:r>
            <w:proofErr w:type="spellStart"/>
            <w:r>
              <w:rPr>
                <w:rFonts w:ascii="Arial" w:hAnsi="Arial" w:cs="Arial"/>
              </w:rPr>
              <w:t>categorised</w:t>
            </w:r>
            <w:proofErr w:type="spellEnd"/>
            <w:r w:rsidR="003D250A">
              <w:rPr>
                <w:rFonts w:ascii="Arial" w:hAnsi="Arial" w:cs="Arial"/>
              </w:rPr>
              <w:t xml:space="preserve"> based on their stake and prize limits</w:t>
            </w:r>
            <w:r>
              <w:rPr>
                <w:rFonts w:ascii="Arial" w:hAnsi="Arial" w:cs="Arial"/>
              </w:rPr>
              <w:t xml:space="preserve"> (see attached table).</w:t>
            </w:r>
          </w:p>
          <w:p w14:paraId="3BC4B755" w14:textId="77777777" w:rsidR="0034112F" w:rsidRPr="006966C4" w:rsidRDefault="0034112F" w:rsidP="00B876C5">
            <w:pPr>
              <w:pStyle w:val="NoSpacing"/>
              <w:rPr>
                <w:rFonts w:ascii="Arial" w:hAnsi="Arial" w:cs="Arial"/>
              </w:rPr>
            </w:pPr>
          </w:p>
        </w:tc>
      </w:tr>
      <w:tr w:rsidR="00A847DD" w:rsidRPr="006966C4" w14:paraId="43B90569" w14:textId="77777777" w:rsidTr="00472878">
        <w:tc>
          <w:tcPr>
            <w:tcW w:w="4337" w:type="dxa"/>
            <w:vAlign w:val="center"/>
          </w:tcPr>
          <w:p w14:paraId="70F05565" w14:textId="77777777" w:rsidR="00A847DD" w:rsidRDefault="00A847DD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Lottery Machines</w:t>
            </w:r>
          </w:p>
          <w:p w14:paraId="4F08E59F" w14:textId="77777777" w:rsidR="00D123EA" w:rsidRDefault="00D123EA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235DEE30" w14:textId="77777777" w:rsidR="00D123EA" w:rsidRDefault="00952954" w:rsidP="00993F3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B043D">
              <w:rPr>
                <w:rFonts w:ascii="Arial" w:hAnsi="Arial" w:cs="Arial"/>
              </w:rPr>
              <w:t>Does the machine vend pre-printed lottery tickets?</w:t>
            </w:r>
          </w:p>
          <w:p w14:paraId="658770B7" w14:textId="77777777" w:rsidR="006B043D" w:rsidRDefault="006B043D" w:rsidP="00993F3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machine determine the lottery results?</w:t>
            </w:r>
          </w:p>
          <w:p w14:paraId="17FC0F0C" w14:textId="77777777" w:rsidR="006B043D" w:rsidRDefault="006B043D" w:rsidP="00993F3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machine announce the result?</w:t>
            </w:r>
          </w:p>
          <w:p w14:paraId="3BDA0EC9" w14:textId="77777777" w:rsidR="006B043D" w:rsidRDefault="006B043D" w:rsidP="00993F3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one hour or more between purchase of the ticket and announcement of the result?</w:t>
            </w:r>
          </w:p>
          <w:p w14:paraId="3775FD2D" w14:textId="77777777" w:rsidR="00A847DD" w:rsidRDefault="00A847DD" w:rsidP="004D6C69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5019" w:type="dxa"/>
          </w:tcPr>
          <w:p w14:paraId="447E7E1D" w14:textId="77777777" w:rsidR="00A847DD" w:rsidRPr="006966C4" w:rsidRDefault="00A847DD" w:rsidP="00472878">
            <w:pPr>
              <w:rPr>
                <w:rFonts w:ascii="Arial" w:hAnsi="Arial" w:cs="Arial"/>
              </w:rPr>
            </w:pPr>
          </w:p>
        </w:tc>
      </w:tr>
      <w:tr w:rsidR="004D6C69" w:rsidRPr="006966C4" w14:paraId="1F7429A0" w14:textId="77777777" w:rsidTr="00B876C5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2C11760C" w14:textId="77777777" w:rsidR="004D6C69" w:rsidRPr="004D6C69" w:rsidRDefault="00392451" w:rsidP="004D6C6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  <w:p w14:paraId="34EA693A" w14:textId="77777777" w:rsidR="004D6C69" w:rsidRDefault="004D6C69" w:rsidP="004D6C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the above questions may assist in determining whether the machine is a Category B3 Lottery Machine or a ‘Pull-Tab’ Ticket dispenser (which does not require </w:t>
            </w:r>
            <w:proofErr w:type="spellStart"/>
            <w:r>
              <w:rPr>
                <w:rFonts w:ascii="Arial" w:hAnsi="Arial" w:cs="Arial"/>
              </w:rPr>
              <w:t>authorisation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1FD398C2" w14:textId="77777777" w:rsidR="004D6C69" w:rsidRDefault="004D6C69" w:rsidP="004D6C69">
            <w:pPr>
              <w:pStyle w:val="NoSpacing"/>
              <w:rPr>
                <w:rFonts w:ascii="Arial" w:hAnsi="Arial" w:cs="Arial"/>
              </w:rPr>
            </w:pPr>
          </w:p>
          <w:p w14:paraId="13981748" w14:textId="77777777" w:rsidR="004D6C69" w:rsidRDefault="004D6C69" w:rsidP="004D6C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machine determines the lottery result or announces the result less than one hour after purchase of the ticket, it is likely that </w:t>
            </w:r>
            <w:r w:rsidR="00500279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is a gaming machine and will require the relevant permission to be sited.</w:t>
            </w:r>
          </w:p>
          <w:p w14:paraId="4CC1DF9A" w14:textId="77777777" w:rsidR="004D6C69" w:rsidRDefault="004D6C69" w:rsidP="004D6C69">
            <w:pPr>
              <w:pStyle w:val="NoSpacing"/>
              <w:rPr>
                <w:rFonts w:ascii="Arial" w:hAnsi="Arial" w:cs="Arial"/>
              </w:rPr>
            </w:pPr>
          </w:p>
          <w:p w14:paraId="44ABE47F" w14:textId="77777777" w:rsidR="004D6C69" w:rsidRDefault="004D6C69" w:rsidP="004D6C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machine vends pre-printed lottery tickets, it is likely that it is not a gaming machine.  However, it must comply with the requirement</w:t>
            </w:r>
            <w:r w:rsidR="0050027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the lottery registration.</w:t>
            </w:r>
          </w:p>
          <w:p w14:paraId="1169B5E7" w14:textId="77777777" w:rsidR="004D6C69" w:rsidRPr="006966C4" w:rsidRDefault="004D6C69" w:rsidP="004D6C69">
            <w:pPr>
              <w:pStyle w:val="NoSpacing"/>
              <w:rPr>
                <w:rFonts w:ascii="Arial" w:hAnsi="Arial" w:cs="Arial"/>
              </w:rPr>
            </w:pPr>
          </w:p>
        </w:tc>
      </w:tr>
      <w:tr w:rsidR="00F110F0" w:rsidRPr="006966C4" w14:paraId="7F4167EB" w14:textId="77777777" w:rsidTr="00472878">
        <w:tc>
          <w:tcPr>
            <w:tcW w:w="4337" w:type="dxa"/>
            <w:vAlign w:val="center"/>
          </w:tcPr>
          <w:p w14:paraId="466D9646" w14:textId="77777777" w:rsidR="00F110F0" w:rsidRDefault="00F110F0" w:rsidP="00472878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Machine Games Duty</w:t>
            </w:r>
          </w:p>
          <w:p w14:paraId="752AC947" w14:textId="77777777" w:rsidR="000261AA" w:rsidRDefault="000261AA" w:rsidP="00472878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05789E6F" w14:textId="77777777" w:rsidR="000B3ACF" w:rsidRDefault="000261AA" w:rsidP="00F514A6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261AA">
              <w:rPr>
                <w:rFonts w:ascii="Arial" w:hAnsi="Arial" w:cs="Arial"/>
              </w:rPr>
              <w:t>Can payment of Machine Games Duty be evidenced?</w:t>
            </w:r>
          </w:p>
          <w:p w14:paraId="7F62C2B1" w14:textId="77777777" w:rsidR="00AC6206" w:rsidRPr="00F514A6" w:rsidRDefault="00AC6206" w:rsidP="00AC6206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14:paraId="0AD3ED40" w14:textId="77777777" w:rsidR="00F110F0" w:rsidRPr="006966C4" w:rsidRDefault="00F110F0" w:rsidP="00472878">
            <w:pPr>
              <w:rPr>
                <w:rFonts w:ascii="Arial" w:hAnsi="Arial" w:cs="Arial"/>
              </w:rPr>
            </w:pPr>
          </w:p>
        </w:tc>
      </w:tr>
      <w:tr w:rsidR="009E4B5E" w:rsidRPr="006966C4" w14:paraId="3BAA9CCC" w14:textId="77777777" w:rsidTr="007A787E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B3CA101" w14:textId="77777777" w:rsidR="009E4B5E" w:rsidRPr="005A2AD6" w:rsidRDefault="009E4B5E" w:rsidP="005A2AD6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 w:rsidRPr="009E4B5E">
              <w:rPr>
                <w:rFonts w:ascii="Arial" w:hAnsi="Arial" w:cs="Arial"/>
                <w:b/>
              </w:rPr>
              <w:t>Notes</w:t>
            </w:r>
          </w:p>
          <w:p w14:paraId="2FF955F1" w14:textId="77777777" w:rsidR="009E4B5E" w:rsidRDefault="009E4B5E" w:rsidP="005A2AD6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</w:rPr>
            </w:pPr>
            <w:r w:rsidRPr="009E4B5E">
              <w:rPr>
                <w:rFonts w:ascii="Arial" w:hAnsi="Arial" w:cs="Arial"/>
              </w:rPr>
              <w:t>For machines where at least one of the prizes on offer is cash, and it is more than the smallest cost to play the machine, you must pay Machine Gam</w:t>
            </w:r>
            <w:r w:rsidR="000B3ACF">
              <w:rPr>
                <w:rFonts w:ascii="Arial" w:hAnsi="Arial" w:cs="Arial"/>
              </w:rPr>
              <w:t>es Duty (MGD).  This may be evidenced</w:t>
            </w:r>
            <w:r w:rsidRPr="009E4B5E">
              <w:rPr>
                <w:rFonts w:ascii="Arial" w:hAnsi="Arial" w:cs="Arial"/>
              </w:rPr>
              <w:t xml:space="preserve"> through an arrangement with the machine supplier.</w:t>
            </w:r>
          </w:p>
          <w:p w14:paraId="0B62C955" w14:textId="77777777" w:rsidR="00DC7DBA" w:rsidRDefault="00DC7DBA" w:rsidP="005A2AD6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</w:rPr>
            </w:pPr>
          </w:p>
          <w:p w14:paraId="67D27FFE" w14:textId="77777777" w:rsidR="009E4B5E" w:rsidRDefault="00DC7DBA" w:rsidP="00AC6206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</w:t>
            </w:r>
            <w:r w:rsidR="00364C58">
              <w:rPr>
                <w:rFonts w:ascii="Arial" w:hAnsi="Arial" w:cs="Arial"/>
              </w:rPr>
              <w:t>there is no evidence of the payment of MGD,</w:t>
            </w:r>
            <w:r>
              <w:rPr>
                <w:rFonts w:ascii="Arial" w:hAnsi="Arial" w:cs="Arial"/>
              </w:rPr>
              <w:t xml:space="preserve"> </w:t>
            </w:r>
            <w:r w:rsidR="00C04201">
              <w:rPr>
                <w:rFonts w:ascii="Arial" w:hAnsi="Arial" w:cs="Arial"/>
              </w:rPr>
              <w:t>HMRC should be informed</w:t>
            </w:r>
          </w:p>
          <w:p w14:paraId="1185235F" w14:textId="77777777" w:rsidR="00AC6206" w:rsidRPr="00AC6206" w:rsidRDefault="00AC6206" w:rsidP="00AC6206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</w:rPr>
            </w:pPr>
          </w:p>
        </w:tc>
      </w:tr>
      <w:tr w:rsidR="007224E3" w:rsidRPr="006966C4" w14:paraId="2F2BF4E1" w14:textId="77777777" w:rsidTr="00C04201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B4E1B2C" w14:textId="77777777" w:rsidR="00BF0E68" w:rsidRPr="006107F3" w:rsidRDefault="00BF0E68" w:rsidP="006107F3">
            <w:pPr>
              <w:jc w:val="center"/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  <w:b/>
              </w:rPr>
              <w:t>If illegally sited machines are found:</w:t>
            </w:r>
          </w:p>
          <w:p w14:paraId="1E753164" w14:textId="77777777" w:rsidR="00107D30" w:rsidRDefault="008B1BEF" w:rsidP="00107D30">
            <w:pPr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</w:rPr>
              <w:t>T</w:t>
            </w:r>
            <w:r w:rsidR="001A0D54" w:rsidRPr="006107F3">
              <w:rPr>
                <w:rFonts w:ascii="Arial" w:hAnsi="Arial" w:cs="Arial"/>
              </w:rPr>
              <w:t xml:space="preserve">he owner/occupier </w:t>
            </w:r>
            <w:r w:rsidR="005A2AD6" w:rsidRPr="006107F3">
              <w:rPr>
                <w:rFonts w:ascii="Arial" w:hAnsi="Arial" w:cs="Arial"/>
              </w:rPr>
              <w:t xml:space="preserve">should be warned that they are </w:t>
            </w:r>
            <w:r w:rsidR="001A0D54" w:rsidRPr="006107F3">
              <w:rPr>
                <w:rFonts w:ascii="Arial" w:hAnsi="Arial" w:cs="Arial"/>
              </w:rPr>
              <w:t>committing</w:t>
            </w:r>
            <w:r w:rsidR="00107D30">
              <w:rPr>
                <w:rFonts w:ascii="Arial" w:hAnsi="Arial" w:cs="Arial"/>
              </w:rPr>
              <w:t xml:space="preserve"> an offence under Gambling Act 2</w:t>
            </w:r>
            <w:r w:rsidR="001A0D54" w:rsidRPr="006107F3">
              <w:rPr>
                <w:rFonts w:ascii="Arial" w:hAnsi="Arial" w:cs="Arial"/>
              </w:rPr>
              <w:t>005:</w:t>
            </w:r>
          </w:p>
          <w:p w14:paraId="10F48AF8" w14:textId="77777777" w:rsidR="000B3ACF" w:rsidRPr="006107F3" w:rsidRDefault="007224E3" w:rsidP="00107D30">
            <w:pPr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  <w:b/>
              </w:rPr>
              <w:t>Section 37</w:t>
            </w:r>
            <w:r w:rsidRPr="006107F3">
              <w:rPr>
                <w:rFonts w:ascii="Arial" w:hAnsi="Arial" w:cs="Arial"/>
              </w:rPr>
              <w:t xml:space="preserve"> – Use of Premises</w:t>
            </w:r>
          </w:p>
          <w:p w14:paraId="10840412" w14:textId="77777777" w:rsidR="000B3ACF" w:rsidRDefault="007224E3" w:rsidP="00F514A6">
            <w:pPr>
              <w:pStyle w:val="NoSpacing"/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  <w:b/>
              </w:rPr>
              <w:t>Section 242</w:t>
            </w:r>
            <w:r w:rsidRPr="006107F3">
              <w:rPr>
                <w:rFonts w:ascii="Arial" w:hAnsi="Arial" w:cs="Arial"/>
              </w:rPr>
              <w:t xml:space="preserve"> – Making machine available for use</w:t>
            </w:r>
          </w:p>
          <w:p w14:paraId="339CCDF4" w14:textId="77777777" w:rsidR="00AC6206" w:rsidRPr="006107F3" w:rsidRDefault="00AC6206" w:rsidP="00F514A6">
            <w:pPr>
              <w:pStyle w:val="NoSpacing"/>
              <w:rPr>
                <w:rFonts w:ascii="Arial" w:hAnsi="Arial" w:cs="Arial"/>
              </w:rPr>
            </w:pPr>
          </w:p>
          <w:p w14:paraId="2195D1F3" w14:textId="77777777" w:rsidR="005A2AD6" w:rsidRPr="006107F3" w:rsidRDefault="005A2AD6" w:rsidP="00F514A6">
            <w:pPr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</w:rPr>
              <w:t>T</w:t>
            </w:r>
            <w:r w:rsidR="007224E3" w:rsidRPr="006107F3">
              <w:rPr>
                <w:rFonts w:ascii="Arial" w:hAnsi="Arial" w:cs="Arial"/>
              </w:rPr>
              <w:t>he maximum penalty on summary conviction is 51 weeks imprisonment and/or a maximum fine not exceeding level 5 on the standard scale.</w:t>
            </w:r>
          </w:p>
          <w:p w14:paraId="0BA4159F" w14:textId="77777777" w:rsidR="005A2AD6" w:rsidRPr="006107F3" w:rsidRDefault="005A2AD6" w:rsidP="00F514A6">
            <w:pPr>
              <w:pStyle w:val="NoSpacing"/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</w:rPr>
              <w:t xml:space="preserve">Owners/ occupiers should be asked to remove the machines from the premises and advised that failure to do so may put any other </w:t>
            </w:r>
            <w:proofErr w:type="spellStart"/>
            <w:r w:rsidRPr="006107F3">
              <w:rPr>
                <w:rFonts w:ascii="Arial" w:hAnsi="Arial" w:cs="Arial"/>
              </w:rPr>
              <w:t>authorisations</w:t>
            </w:r>
            <w:proofErr w:type="spellEnd"/>
            <w:r w:rsidRPr="006107F3">
              <w:rPr>
                <w:rFonts w:ascii="Arial" w:hAnsi="Arial" w:cs="Arial"/>
              </w:rPr>
              <w:t xml:space="preserve"> into jeopardy (i.e. Premises </w:t>
            </w:r>
            <w:proofErr w:type="spellStart"/>
            <w:r w:rsidRPr="006107F3">
              <w:rPr>
                <w:rFonts w:ascii="Arial" w:hAnsi="Arial" w:cs="Arial"/>
              </w:rPr>
              <w:t>Licence</w:t>
            </w:r>
            <w:proofErr w:type="spellEnd"/>
            <w:r w:rsidRPr="006107F3">
              <w:rPr>
                <w:rFonts w:ascii="Arial" w:hAnsi="Arial" w:cs="Arial"/>
              </w:rPr>
              <w:t xml:space="preserve"> </w:t>
            </w:r>
            <w:r w:rsidR="000B3ACF" w:rsidRPr="006107F3">
              <w:rPr>
                <w:rFonts w:ascii="Arial" w:hAnsi="Arial" w:cs="Arial"/>
              </w:rPr>
              <w:t>or Club Premises Certificates issued</w:t>
            </w:r>
            <w:r w:rsidRPr="006107F3">
              <w:rPr>
                <w:rFonts w:ascii="Arial" w:hAnsi="Arial" w:cs="Arial"/>
              </w:rPr>
              <w:t xml:space="preserve"> under the Licensing Act 2003.</w:t>
            </w:r>
            <w:r w:rsidR="000B3ACF" w:rsidRPr="006107F3">
              <w:rPr>
                <w:rFonts w:ascii="Arial" w:hAnsi="Arial" w:cs="Arial"/>
              </w:rPr>
              <w:t>)</w:t>
            </w:r>
          </w:p>
          <w:p w14:paraId="30DE2D09" w14:textId="77777777" w:rsidR="008B1BEF" w:rsidRPr="006107F3" w:rsidRDefault="008B1BEF" w:rsidP="00F514A6">
            <w:pPr>
              <w:pStyle w:val="NoSpacing"/>
              <w:rPr>
                <w:rFonts w:ascii="Arial" w:hAnsi="Arial" w:cs="Arial"/>
              </w:rPr>
            </w:pPr>
          </w:p>
          <w:p w14:paraId="5672758E" w14:textId="77777777" w:rsidR="008B1BEF" w:rsidRDefault="008B1BEF" w:rsidP="00F514A6">
            <w:pPr>
              <w:pStyle w:val="NoSpacing"/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</w:rPr>
              <w:t>If the intention is to seize the machine</w:t>
            </w:r>
            <w:r w:rsidR="00DC7DBA" w:rsidRPr="006107F3">
              <w:rPr>
                <w:rFonts w:ascii="Arial" w:hAnsi="Arial" w:cs="Arial"/>
              </w:rPr>
              <w:t xml:space="preserve"> under GA05 </w:t>
            </w:r>
            <w:r w:rsidR="00DC7DBA" w:rsidRPr="006107F3">
              <w:rPr>
                <w:rFonts w:ascii="Arial" w:hAnsi="Arial" w:cs="Arial"/>
                <w:b/>
              </w:rPr>
              <w:t>Section 317</w:t>
            </w:r>
            <w:r w:rsidRPr="006107F3">
              <w:rPr>
                <w:rFonts w:ascii="Arial" w:hAnsi="Arial" w:cs="Arial"/>
              </w:rPr>
              <w:t>, further advice can be found within the following guidance note:</w:t>
            </w:r>
          </w:p>
          <w:p w14:paraId="0014A6C6" w14:textId="77777777" w:rsidR="00AC6206" w:rsidRPr="006107F3" w:rsidRDefault="00AC6206" w:rsidP="00F514A6">
            <w:pPr>
              <w:pStyle w:val="NoSpacing"/>
              <w:rPr>
                <w:rFonts w:ascii="Arial" w:hAnsi="Arial" w:cs="Arial"/>
              </w:rPr>
            </w:pPr>
          </w:p>
          <w:p w14:paraId="334EB9C5" w14:textId="77777777" w:rsidR="001A0D54" w:rsidRDefault="00717653" w:rsidP="006107F3">
            <w:pPr>
              <w:pStyle w:val="NoSpacing"/>
              <w:jc w:val="center"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1" w:history="1">
              <w:r w:rsidR="008B1BEF" w:rsidRPr="00C04201">
                <w:rPr>
                  <w:rStyle w:val="Hyperlink"/>
                  <w:rFonts w:ascii="Arial" w:hAnsi="Arial" w:cs="Arial"/>
                  <w:color w:val="000000" w:themeColor="text1"/>
                </w:rPr>
                <w:t>http://www.gamblingcommission.gov.uk/pdf/Illegal-gaming-machines-a-quick-guide-for-licensing-officers.pdf</w:t>
              </w:r>
            </w:hyperlink>
          </w:p>
          <w:p w14:paraId="6E398B1D" w14:textId="77777777" w:rsidR="00C04201" w:rsidRPr="00C04201" w:rsidRDefault="00C04201" w:rsidP="006107F3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9AC921" w14:textId="77777777" w:rsidR="00A325D9" w:rsidRDefault="00A325D9" w:rsidP="00C0420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6107F3">
              <w:rPr>
                <w:rFonts w:ascii="Arial" w:hAnsi="Arial" w:cs="Arial"/>
                <w:color w:val="000000" w:themeColor="text1"/>
              </w:rPr>
              <w:t xml:space="preserve">The visit may have been carried out as a result of a Local Authority </w:t>
            </w:r>
            <w:r w:rsidR="00500279">
              <w:rPr>
                <w:rFonts w:ascii="Arial" w:hAnsi="Arial" w:cs="Arial"/>
                <w:color w:val="000000" w:themeColor="text1"/>
              </w:rPr>
              <w:t>Compliance Event</w:t>
            </w:r>
            <w:r w:rsidRPr="006107F3">
              <w:rPr>
                <w:rFonts w:ascii="Arial" w:hAnsi="Arial" w:cs="Arial"/>
                <w:color w:val="000000" w:themeColor="text1"/>
              </w:rPr>
              <w:t xml:space="preserve"> (LACE) referral</w:t>
            </w:r>
            <w:r w:rsidR="006107F3" w:rsidRPr="006107F3">
              <w:rPr>
                <w:rFonts w:ascii="Arial" w:hAnsi="Arial" w:cs="Arial"/>
                <w:color w:val="000000" w:themeColor="text1"/>
              </w:rPr>
              <w:t xml:space="preserve"> from the Gambling Commis</w:t>
            </w:r>
            <w:r w:rsidR="00F514A6">
              <w:rPr>
                <w:rFonts w:ascii="Arial" w:hAnsi="Arial" w:cs="Arial"/>
                <w:color w:val="000000" w:themeColor="text1"/>
              </w:rPr>
              <w:t xml:space="preserve">sion.  If this is the case, this </w:t>
            </w:r>
            <w:r w:rsidR="00FD6FFE">
              <w:rPr>
                <w:rFonts w:ascii="Arial" w:hAnsi="Arial" w:cs="Arial"/>
                <w:color w:val="000000" w:themeColor="text1"/>
              </w:rPr>
              <w:t xml:space="preserve">form can be </w:t>
            </w:r>
            <w:r w:rsidR="00F514A6">
              <w:rPr>
                <w:rFonts w:ascii="Arial" w:hAnsi="Arial" w:cs="Arial"/>
                <w:color w:val="000000" w:themeColor="text1"/>
              </w:rPr>
              <w:t>completed</w:t>
            </w:r>
            <w:r w:rsidR="006107F3" w:rsidRPr="006107F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D6FFE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6107F3" w:rsidRPr="006107F3">
              <w:rPr>
                <w:rFonts w:ascii="Arial" w:hAnsi="Arial" w:cs="Arial"/>
                <w:color w:val="000000" w:themeColor="text1"/>
              </w:rPr>
              <w:t xml:space="preserve">e-mailed to </w:t>
            </w:r>
            <w:r w:rsidR="00C04201">
              <w:rPr>
                <w:rFonts w:ascii="Arial" w:hAnsi="Arial" w:cs="Arial"/>
                <w:color w:val="000000" w:themeColor="text1"/>
              </w:rPr>
              <w:t xml:space="preserve">your local compliance manager to </w:t>
            </w:r>
            <w:proofErr w:type="spellStart"/>
            <w:r w:rsidR="00C04201">
              <w:rPr>
                <w:rFonts w:ascii="Arial" w:hAnsi="Arial" w:cs="Arial"/>
                <w:color w:val="000000" w:themeColor="text1"/>
              </w:rPr>
              <w:t>finalise</w:t>
            </w:r>
            <w:proofErr w:type="spellEnd"/>
            <w:r w:rsidR="00C04201">
              <w:rPr>
                <w:rFonts w:ascii="Arial" w:hAnsi="Arial" w:cs="Arial"/>
                <w:color w:val="000000" w:themeColor="text1"/>
              </w:rPr>
              <w:t xml:space="preserve"> this process.</w:t>
            </w:r>
          </w:p>
          <w:p w14:paraId="3D22B88D" w14:textId="77777777" w:rsidR="00C04201" w:rsidRPr="00C04201" w:rsidRDefault="00C04201" w:rsidP="00C0420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780ED096" w14:textId="77777777" w:rsidR="00FD6FFE" w:rsidRPr="00FD6FFE" w:rsidRDefault="00FD6FFE" w:rsidP="00F514A6">
            <w:pPr>
              <w:pStyle w:val="NoSpacing"/>
              <w:rPr>
                <w:rFonts w:ascii="Arial" w:hAnsi="Arial" w:cs="Arial"/>
                <w:b/>
              </w:rPr>
            </w:pPr>
            <w:r w:rsidRPr="00FD6FFE">
              <w:rPr>
                <w:rFonts w:ascii="Arial" w:hAnsi="Arial" w:cs="Arial"/>
                <w:b/>
              </w:rPr>
              <w:t xml:space="preserve">Illegal supply </w:t>
            </w:r>
          </w:p>
          <w:p w14:paraId="6B6502C0" w14:textId="77777777" w:rsidR="00FD6FFE" w:rsidRDefault="00FD6FFE" w:rsidP="00F514A6">
            <w:pPr>
              <w:pStyle w:val="NoSpacing"/>
              <w:rPr>
                <w:rFonts w:ascii="Arial" w:hAnsi="Arial" w:cs="Arial"/>
              </w:rPr>
            </w:pPr>
          </w:p>
          <w:p w14:paraId="1D276E1F" w14:textId="77777777" w:rsidR="00880191" w:rsidRPr="00F514A6" w:rsidRDefault="00880191" w:rsidP="00F514A6">
            <w:pPr>
              <w:pStyle w:val="NoSpacing"/>
              <w:rPr>
                <w:rFonts w:ascii="Arial" w:hAnsi="Arial" w:cs="Arial"/>
              </w:rPr>
            </w:pPr>
            <w:r w:rsidRPr="006107F3">
              <w:rPr>
                <w:rFonts w:ascii="Arial" w:hAnsi="Arial" w:cs="Arial"/>
              </w:rPr>
              <w:t>If a machine is illegally sited, it may also</w:t>
            </w:r>
            <w:r w:rsidR="00F514A6">
              <w:rPr>
                <w:rFonts w:ascii="Arial" w:hAnsi="Arial" w:cs="Arial"/>
              </w:rPr>
              <w:t xml:space="preserve"> have been illegally supplied.  </w:t>
            </w:r>
            <w:r w:rsidR="004113A4" w:rsidRPr="006107F3">
              <w:rPr>
                <w:rFonts w:ascii="Arial" w:hAnsi="Arial" w:cs="Arial"/>
              </w:rPr>
              <w:t xml:space="preserve">Those supplying and </w:t>
            </w:r>
            <w:r w:rsidR="002505A5" w:rsidRPr="006107F3">
              <w:rPr>
                <w:rFonts w:ascii="Arial" w:hAnsi="Arial" w:cs="Arial"/>
              </w:rPr>
              <w:t>manufacturing</w:t>
            </w:r>
            <w:r w:rsidR="004113A4" w:rsidRPr="006107F3">
              <w:rPr>
                <w:rFonts w:ascii="Arial" w:hAnsi="Arial" w:cs="Arial"/>
              </w:rPr>
              <w:t xml:space="preserve"> gaming machines </w:t>
            </w:r>
            <w:r w:rsidR="00BF0E68" w:rsidRPr="006107F3">
              <w:rPr>
                <w:rFonts w:ascii="Arial" w:hAnsi="Arial" w:cs="Arial"/>
              </w:rPr>
              <w:t xml:space="preserve">(as well as providing certain aspects of machine maintenance) </w:t>
            </w:r>
            <w:r w:rsidR="004113A4" w:rsidRPr="006107F3">
              <w:rPr>
                <w:rFonts w:ascii="Arial" w:hAnsi="Arial" w:cs="Arial"/>
              </w:rPr>
              <w:t xml:space="preserve">must have an operating </w:t>
            </w:r>
            <w:proofErr w:type="spellStart"/>
            <w:r w:rsidR="004113A4" w:rsidRPr="006107F3">
              <w:rPr>
                <w:rFonts w:ascii="Arial" w:hAnsi="Arial" w:cs="Arial"/>
              </w:rPr>
              <w:t>licence</w:t>
            </w:r>
            <w:proofErr w:type="spellEnd"/>
            <w:r w:rsidR="004113A4" w:rsidRPr="006107F3">
              <w:rPr>
                <w:rFonts w:ascii="Arial" w:hAnsi="Arial" w:cs="Arial"/>
              </w:rPr>
              <w:t xml:space="preserve"> from the Gambling Commission.  </w:t>
            </w:r>
            <w:r w:rsidR="00F514A6">
              <w:rPr>
                <w:rFonts w:ascii="Arial" w:hAnsi="Arial" w:cs="Arial"/>
              </w:rPr>
              <w:t>Unless this visit was a response to a ‘LACE’ referral, and the Gambling Commission have already been informed, c</w:t>
            </w:r>
            <w:r w:rsidR="004113A4" w:rsidRPr="006107F3">
              <w:rPr>
                <w:rFonts w:ascii="Arial" w:hAnsi="Arial" w:cs="Arial"/>
              </w:rPr>
              <w:t>ompleted forms can be sent with a message header of ‘Illegal Gaming Machine Supply’ to:</w:t>
            </w:r>
          </w:p>
          <w:p w14:paraId="0CB8642C" w14:textId="77777777" w:rsidR="00880191" w:rsidRPr="00C04201" w:rsidRDefault="00717653" w:rsidP="006107F3">
            <w:pPr>
              <w:pStyle w:val="NoSpacing"/>
              <w:jc w:val="center"/>
              <w:rPr>
                <w:color w:val="000000" w:themeColor="text1"/>
              </w:rPr>
            </w:pPr>
            <w:hyperlink r:id="rId12" w:history="1">
              <w:r w:rsidR="00880191" w:rsidRPr="00C04201">
                <w:rPr>
                  <w:rStyle w:val="Hyperlink"/>
                  <w:rFonts w:ascii="Arial" w:hAnsi="Arial" w:cs="Arial"/>
                  <w:color w:val="000000" w:themeColor="text1"/>
                </w:rPr>
                <w:t>intelligencereports@gamblingcommission.gov.uk</w:t>
              </w:r>
            </w:hyperlink>
          </w:p>
          <w:p w14:paraId="18E79559" w14:textId="77777777" w:rsidR="00786689" w:rsidRPr="00786689" w:rsidRDefault="00786689" w:rsidP="006107F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7593500" w14:textId="77777777" w:rsidR="007224E3" w:rsidRDefault="00786689" w:rsidP="00786689">
            <w:pPr>
              <w:pStyle w:val="NoSpacing"/>
              <w:jc w:val="center"/>
              <w:rPr>
                <w:rFonts w:ascii="Arial" w:hAnsi="Arial" w:cs="Arial"/>
              </w:rPr>
            </w:pPr>
            <w:r w:rsidRPr="00786689">
              <w:rPr>
                <w:rFonts w:ascii="Arial" w:hAnsi="Arial" w:cs="Arial"/>
              </w:rPr>
              <w:t>You may wish to leave the following quick guide prod</w:t>
            </w:r>
            <w:r w:rsidR="00241999">
              <w:rPr>
                <w:rFonts w:ascii="Arial" w:hAnsi="Arial" w:cs="Arial"/>
              </w:rPr>
              <w:t>uced by the Gambling Commission.  (Please click the link to download the document</w:t>
            </w:r>
            <w:r w:rsidR="00FD6FFE">
              <w:rPr>
                <w:rFonts w:ascii="Arial" w:hAnsi="Arial" w:cs="Arial"/>
              </w:rPr>
              <w:t xml:space="preserve"> or visit </w:t>
            </w:r>
            <w:hyperlink r:id="rId13" w:history="1">
              <w:r w:rsidR="00FD6FFE" w:rsidRPr="00A36365">
                <w:rPr>
                  <w:rStyle w:val="Hyperlink"/>
                  <w:rFonts w:ascii="Arial" w:hAnsi="Arial" w:cs="Arial"/>
                </w:rPr>
                <w:t>www.gamblingcommission.gov.uk</w:t>
              </w:r>
            </w:hyperlink>
            <w:r w:rsidR="00241999" w:rsidRPr="00FD6FFE">
              <w:rPr>
                <w:rFonts w:ascii="Arial" w:hAnsi="Arial" w:cs="Arial"/>
              </w:rPr>
              <w:t>)</w:t>
            </w:r>
          </w:p>
          <w:p w14:paraId="04530749" w14:textId="77777777" w:rsidR="00786689" w:rsidRPr="00FD6FFE" w:rsidRDefault="00786689" w:rsidP="0078668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04B3D89" w14:textId="77777777" w:rsidR="00786689" w:rsidRPr="00FD6FFE" w:rsidRDefault="00717653" w:rsidP="00786689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786689" w:rsidRPr="00FD6FFE">
                <w:rPr>
                  <w:rStyle w:val="Hyperlink"/>
                  <w:rFonts w:ascii="Arial" w:hAnsi="Arial" w:cs="Arial"/>
                  <w:color w:val="000000" w:themeColor="text1"/>
                </w:rPr>
                <w:t>Illegal siting of gaming machines</w:t>
              </w:r>
            </w:hyperlink>
          </w:p>
          <w:p w14:paraId="61846538" w14:textId="77777777" w:rsidR="00786689" w:rsidRPr="00786689" w:rsidRDefault="00786689" w:rsidP="0078668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45E344E" w14:textId="77777777" w:rsidR="00BE21D0" w:rsidRDefault="00BE21D0" w:rsidP="002B4D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72"/>
        <w:gridCol w:w="5079"/>
      </w:tblGrid>
      <w:tr w:rsidR="000B3ACF" w14:paraId="07B9CD9D" w14:textId="77777777" w:rsidTr="0034112F">
        <w:tc>
          <w:tcPr>
            <w:tcW w:w="4272" w:type="dxa"/>
          </w:tcPr>
          <w:p w14:paraId="6D0962A2" w14:textId="77777777" w:rsidR="000B3ACF" w:rsidRPr="000B3ACF" w:rsidRDefault="003370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0B3ACF" w:rsidRPr="000B3ACF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0B3ACF" w:rsidRPr="000B3ACF">
              <w:rPr>
                <w:rFonts w:ascii="Arial" w:hAnsi="Arial" w:cs="Arial"/>
                <w:b/>
              </w:rPr>
              <w:t>authorised</w:t>
            </w:r>
            <w:proofErr w:type="spellEnd"/>
            <w:r w:rsidR="000B3ACF" w:rsidRPr="000B3ACF">
              <w:rPr>
                <w:rFonts w:ascii="Arial" w:hAnsi="Arial" w:cs="Arial"/>
                <w:b/>
              </w:rPr>
              <w:t xml:space="preserve"> officer</w:t>
            </w:r>
            <w:r w:rsidR="000B3AC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79" w:type="dxa"/>
          </w:tcPr>
          <w:p w14:paraId="1C19D9F0" w14:textId="77777777" w:rsidR="000B3ACF" w:rsidRDefault="000B3ACF"/>
          <w:p w14:paraId="26CA940C" w14:textId="77777777" w:rsidR="00FD6FFE" w:rsidRDefault="00FD6FFE"/>
          <w:p w14:paraId="449E4B41" w14:textId="77777777" w:rsidR="000B3ACF" w:rsidRDefault="000B3ACF"/>
        </w:tc>
      </w:tr>
      <w:tr w:rsidR="00337006" w14:paraId="43E04153" w14:textId="77777777" w:rsidTr="0034112F">
        <w:tc>
          <w:tcPr>
            <w:tcW w:w="4272" w:type="dxa"/>
          </w:tcPr>
          <w:p w14:paraId="7E11C112" w14:textId="77777777" w:rsidR="00337006" w:rsidRDefault="003370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b/>
              </w:rPr>
              <w:t>authorised</w:t>
            </w:r>
            <w:proofErr w:type="spellEnd"/>
            <w:r>
              <w:rPr>
                <w:rFonts w:ascii="Arial" w:hAnsi="Arial" w:cs="Arial"/>
                <w:b/>
              </w:rPr>
              <w:t xml:space="preserve"> officer:</w:t>
            </w:r>
          </w:p>
        </w:tc>
        <w:tc>
          <w:tcPr>
            <w:tcW w:w="5079" w:type="dxa"/>
          </w:tcPr>
          <w:p w14:paraId="0A28C2DB" w14:textId="77777777" w:rsidR="00337006" w:rsidRDefault="00337006"/>
          <w:p w14:paraId="58C81403" w14:textId="77777777" w:rsidR="00FD6FFE" w:rsidRDefault="00FD6FFE"/>
          <w:p w14:paraId="0EB4A9BC" w14:textId="77777777" w:rsidR="00C12442" w:rsidRDefault="00C12442"/>
        </w:tc>
      </w:tr>
    </w:tbl>
    <w:p w14:paraId="0D36F78E" w14:textId="77777777" w:rsidR="00F514A6" w:rsidRDefault="00F514A6"/>
    <w:p w14:paraId="10C3B35E" w14:textId="77777777" w:rsidR="00AC6206" w:rsidRDefault="00AC6206"/>
    <w:p w14:paraId="3EC4DA24" w14:textId="77777777" w:rsidR="00AC6206" w:rsidRDefault="00AC6206"/>
    <w:p w14:paraId="20F16B60" w14:textId="77777777" w:rsidR="00AC6206" w:rsidRDefault="00AC6206"/>
    <w:p w14:paraId="68B1029C" w14:textId="77777777" w:rsidR="00AC6206" w:rsidRDefault="00AC6206"/>
    <w:p w14:paraId="69BE1879" w14:textId="77777777" w:rsidR="00AC6206" w:rsidRDefault="00AC6206"/>
    <w:p w14:paraId="3CBDD930" w14:textId="77777777" w:rsidR="00AC6206" w:rsidRDefault="00AC6206"/>
    <w:p w14:paraId="5A41CA3F" w14:textId="77777777" w:rsidR="00AC6206" w:rsidRDefault="00AC6206"/>
    <w:p w14:paraId="28F8BB7D" w14:textId="77777777" w:rsidR="00AC6206" w:rsidRDefault="00AC6206"/>
    <w:p w14:paraId="693D73C3" w14:textId="77777777" w:rsidR="00AC6206" w:rsidRDefault="00AC6206"/>
    <w:p w14:paraId="758EF95F" w14:textId="77777777" w:rsidR="00AC6206" w:rsidRDefault="00AC6206"/>
    <w:p w14:paraId="0901A32E" w14:textId="77777777" w:rsidR="00AC6206" w:rsidRDefault="00AC6206"/>
    <w:p w14:paraId="1EDDE452" w14:textId="77777777" w:rsidR="00241999" w:rsidRDefault="0024199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58"/>
        <w:gridCol w:w="2482"/>
        <w:gridCol w:w="3453"/>
      </w:tblGrid>
      <w:tr w:rsidR="00F3163D" w:rsidRPr="009D1F61" w14:paraId="1821B810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18CD1A4" w14:textId="77777777" w:rsidR="00F3163D" w:rsidRPr="009D1F61" w:rsidRDefault="00F3163D" w:rsidP="00F31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F61">
              <w:rPr>
                <w:rFonts w:ascii="Arial" w:hAnsi="Arial" w:cs="Arial"/>
                <w:b/>
                <w:sz w:val="20"/>
                <w:szCs w:val="20"/>
              </w:rPr>
              <w:lastRenderedPageBreak/>
              <w:t>Machine category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534EBA" w14:textId="77777777" w:rsidR="00F3163D" w:rsidRPr="009D1F61" w:rsidRDefault="00F3163D" w:rsidP="00F31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F61">
              <w:rPr>
                <w:rFonts w:ascii="Arial" w:hAnsi="Arial" w:cs="Arial"/>
                <w:b/>
                <w:sz w:val="20"/>
                <w:szCs w:val="20"/>
              </w:rPr>
              <w:t>Maximum stake (from January 2014)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10020B7" w14:textId="77777777" w:rsidR="00F3163D" w:rsidRPr="009D1F61" w:rsidRDefault="00F3163D" w:rsidP="00F31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F61">
              <w:rPr>
                <w:rFonts w:ascii="Arial" w:hAnsi="Arial" w:cs="Arial"/>
                <w:b/>
                <w:sz w:val="20"/>
                <w:szCs w:val="20"/>
              </w:rPr>
              <w:t>Maximum prize (from January 2014)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14:paraId="5CF402F1" w14:textId="77777777" w:rsidR="00F3163D" w:rsidRPr="009D1F61" w:rsidRDefault="00F3163D" w:rsidP="00F31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F61">
              <w:rPr>
                <w:rFonts w:ascii="Arial" w:hAnsi="Arial" w:cs="Arial"/>
                <w:b/>
                <w:sz w:val="20"/>
                <w:szCs w:val="20"/>
              </w:rPr>
              <w:t>Allowed premises</w:t>
            </w:r>
          </w:p>
        </w:tc>
      </w:tr>
      <w:tr w:rsidR="00F3163D" w:rsidRPr="009D1F61" w14:paraId="1457E142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09EEF7D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5678A8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Unlimited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5FB49A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Unlimited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6EA03D2D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Regional Casino</w:t>
            </w:r>
          </w:p>
        </w:tc>
      </w:tr>
      <w:tr w:rsidR="00F3163D" w:rsidRPr="009D1F61" w14:paraId="34B1C1C5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A6968D6" w14:textId="77777777" w:rsidR="00F3163D" w:rsidRPr="009D1F61" w:rsidRDefault="00717653" w:rsidP="00F3163D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B1" w:history="1">
              <w:r w:rsidR="00F3163D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B1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08E794A4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73E0237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£10,000 (with the option of a maximum £20,000 linked progressive jackpot on a premises basis only)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60E7B904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Large Casino, Small Casino, Pre-2005 Act casino and Regional Casinos</w:t>
            </w:r>
          </w:p>
        </w:tc>
      </w:tr>
      <w:tr w:rsidR="00F3163D" w:rsidRPr="009D1F61" w14:paraId="3336B2A1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2636AF3" w14:textId="77777777" w:rsidR="00F3163D" w:rsidRPr="009D1F61" w:rsidRDefault="00717653" w:rsidP="00F3163D">
            <w:pPr>
              <w:rPr>
                <w:rFonts w:ascii="Arial" w:hAnsi="Arial" w:cs="Arial"/>
                <w:sz w:val="20"/>
                <w:szCs w:val="20"/>
              </w:rPr>
            </w:pPr>
            <w:hyperlink r:id="rId16" w:tooltip="B2" w:history="1">
              <w:r w:rsidR="00F3163D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B2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5B0AB196" w14:textId="2AB4878B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7A5EC2">
              <w:rPr>
                <w:rFonts w:ascii="Arial" w:hAnsi="Arial" w:cs="Arial"/>
                <w:sz w:val="20"/>
                <w:szCs w:val="20"/>
              </w:rPr>
              <w:t>£</w:t>
            </w:r>
            <w:r w:rsidR="00230458" w:rsidRPr="007A5E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44BA201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£500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2492EA64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 xml:space="preserve">Betting premises and tracks occupied by pool betting and </w:t>
            </w: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</w:t>
            </w:r>
          </w:p>
        </w:tc>
      </w:tr>
      <w:tr w:rsidR="00F3163D" w:rsidRPr="009D1F61" w14:paraId="35FAB8B0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46F9C16" w14:textId="77777777" w:rsidR="00F3163D" w:rsidRPr="009D1F61" w:rsidRDefault="00717653" w:rsidP="00F3163D">
            <w:pPr>
              <w:rPr>
                <w:rFonts w:ascii="Arial" w:hAnsi="Arial" w:cs="Arial"/>
                <w:sz w:val="20"/>
                <w:szCs w:val="20"/>
              </w:rPr>
            </w:pPr>
            <w:hyperlink r:id="rId17" w:tooltip="B3" w:history="1">
              <w:r w:rsidR="00F3163D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B3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58C3CA6A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3916DA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£500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2B2E9AF0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 xml:space="preserve">Bingo premises, Adult gaming </w:t>
            </w:r>
            <w:proofErr w:type="spellStart"/>
            <w:r w:rsidRPr="009D1F61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9D1F6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 </w:t>
            </w:r>
          </w:p>
        </w:tc>
      </w:tr>
      <w:tr w:rsidR="00F3163D" w:rsidRPr="009D1F61" w14:paraId="3AA3FF4A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E8C070F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B3A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F7C376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81246D5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£500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10341F5D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Members’ club or Miners’ welfare institute only</w:t>
            </w:r>
          </w:p>
        </w:tc>
      </w:tr>
      <w:tr w:rsidR="00F3163D" w:rsidRPr="009D1F61" w14:paraId="7E269FC8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0857ED1" w14:textId="77777777" w:rsidR="00F3163D" w:rsidRPr="009D1F61" w:rsidRDefault="00717653" w:rsidP="00F3163D">
            <w:pPr>
              <w:rPr>
                <w:rFonts w:ascii="Arial" w:hAnsi="Arial" w:cs="Arial"/>
                <w:sz w:val="20"/>
                <w:szCs w:val="20"/>
              </w:rPr>
            </w:pPr>
            <w:hyperlink r:id="rId18" w:tooltip="B4" w:history="1">
              <w:r w:rsidR="00F3163D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B4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5C5EF5F6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20EB6A2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49813DA4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 xml:space="preserve">Members' club or Miners’ welfare club, commercial club and </w:t>
            </w: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</w:tr>
      <w:tr w:rsidR="00F3163D" w:rsidRPr="009D1F61" w14:paraId="4280C592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ACCA861" w14:textId="77777777" w:rsidR="00F3163D" w:rsidRPr="009D1F61" w:rsidRDefault="00717653" w:rsidP="00F3163D">
            <w:pPr>
              <w:rPr>
                <w:rFonts w:ascii="Arial" w:hAnsi="Arial" w:cs="Arial"/>
                <w:sz w:val="20"/>
                <w:szCs w:val="20"/>
              </w:rPr>
            </w:pPr>
            <w:hyperlink r:id="rId19" w:tooltip="C" w:history="1">
              <w:r w:rsidR="00F3163D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08645A4C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CE8CCE9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5A09BC11" w14:textId="77777777" w:rsidR="00F3163D" w:rsidRPr="009D1F61" w:rsidRDefault="00F3163D" w:rsidP="00F3163D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 xml:space="preserve">Family entertainment </w:t>
            </w:r>
            <w:proofErr w:type="spellStart"/>
            <w:r w:rsidRPr="009D1F61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9D1F61">
              <w:rPr>
                <w:rFonts w:ascii="Arial" w:hAnsi="Arial" w:cs="Arial"/>
                <w:sz w:val="20"/>
                <w:szCs w:val="20"/>
              </w:rPr>
              <w:t xml:space="preserve"> (with Commission operating </w:t>
            </w:r>
            <w:proofErr w:type="spellStart"/>
            <w:r w:rsidRPr="009D1F61"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 w:rsidRPr="009D1F61">
              <w:rPr>
                <w:rFonts w:ascii="Arial" w:hAnsi="Arial" w:cs="Arial"/>
                <w:sz w:val="20"/>
                <w:szCs w:val="20"/>
              </w:rPr>
              <w:t xml:space="preserve">), Qualifying alcohol licensed premises (without additional gaming machine permit), Qualifying alcohol licensed premises (with additional LA gaming machine permit) and </w:t>
            </w: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  <w:bookmarkStart w:id="0" w:name="_GoBack"/>
        <w:bookmarkEnd w:id="0"/>
      </w:tr>
      <w:tr w:rsidR="00657F95" w:rsidRPr="009D1F61" w14:paraId="4435E94A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128535F" w14:textId="77777777" w:rsidR="00657F95" w:rsidRPr="009D1F61" w:rsidRDefault="00717653" w:rsidP="00657F95">
            <w:pPr>
              <w:rPr>
                <w:rFonts w:ascii="Arial" w:hAnsi="Arial" w:cs="Arial"/>
                <w:sz w:val="20"/>
                <w:szCs w:val="20"/>
              </w:rPr>
            </w:pPr>
            <w:hyperlink r:id="rId20" w:tooltip="D" w:history="1">
              <w:r w:rsidR="00657F95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D money prize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63133B7A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10p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3DD9A99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1780D346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 xml:space="preserve">Travelling fairs, unlicensed (permit) Family entertainment </w:t>
            </w:r>
            <w:proofErr w:type="spellStart"/>
            <w:r w:rsidRPr="009D1F61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9D1F6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</w:t>
            </w:r>
          </w:p>
        </w:tc>
      </w:tr>
      <w:tr w:rsidR="00657F95" w:rsidRPr="009D1F61" w14:paraId="521FD914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34392F3" w14:textId="77777777" w:rsidR="00657F95" w:rsidRPr="009D1F61" w:rsidRDefault="00717653" w:rsidP="00657F95">
            <w:pPr>
              <w:rPr>
                <w:rFonts w:ascii="Arial" w:hAnsi="Arial" w:cs="Arial"/>
                <w:sz w:val="20"/>
                <w:szCs w:val="20"/>
              </w:rPr>
            </w:pPr>
            <w:hyperlink r:id="rId21" w:tooltip="D" w:history="1">
              <w:r w:rsidR="00657F95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D non-money prize (other than crane grab machine)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326950AA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30p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D48622D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£8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2CEB18B6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</w:tr>
      <w:tr w:rsidR="00657F95" w:rsidRPr="009D1F61" w14:paraId="02F2BA92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AD7C1BD" w14:textId="77777777" w:rsidR="00657F95" w:rsidRPr="009D1F61" w:rsidRDefault="00717653" w:rsidP="00657F95">
            <w:pPr>
              <w:rPr>
                <w:rFonts w:ascii="Arial" w:hAnsi="Arial" w:cs="Arial"/>
                <w:sz w:val="20"/>
                <w:szCs w:val="20"/>
              </w:rPr>
            </w:pPr>
            <w:hyperlink r:id="rId22" w:tooltip="D" w:history="1">
              <w:r w:rsidR="00657F95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D non-money prize (crane grab machine)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32303199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DEB8E6C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50C3CF40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</w:tr>
      <w:tr w:rsidR="00657F95" w:rsidRPr="009D1F61" w14:paraId="3D6826AA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4EC313B" w14:textId="77777777" w:rsidR="00657F95" w:rsidRPr="009D1F61" w:rsidRDefault="00717653" w:rsidP="00657F95">
            <w:pPr>
              <w:rPr>
                <w:rFonts w:ascii="Arial" w:hAnsi="Arial" w:cs="Arial"/>
                <w:sz w:val="20"/>
                <w:szCs w:val="20"/>
              </w:rPr>
            </w:pPr>
            <w:hyperlink r:id="rId23" w:tooltip="D" w:history="1">
              <w:r w:rsidR="00657F95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D combined money and non-money prize (other than coin pusher or penny falls machines)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64297522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10p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57F7BE2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£8 (of which no more than £5 may be a money prize)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26C06179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</w:tr>
      <w:tr w:rsidR="00657F95" w:rsidRPr="009D1F61" w14:paraId="368B1A82" w14:textId="77777777" w:rsidTr="00320A38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FA01B14" w14:textId="77777777" w:rsidR="00657F95" w:rsidRPr="009D1F61" w:rsidRDefault="00717653" w:rsidP="00657F95">
            <w:pPr>
              <w:rPr>
                <w:rFonts w:ascii="Arial" w:hAnsi="Arial" w:cs="Arial"/>
                <w:sz w:val="20"/>
                <w:szCs w:val="20"/>
              </w:rPr>
            </w:pPr>
            <w:hyperlink r:id="rId24" w:tooltip="D" w:history="1">
              <w:r w:rsidR="00657F95" w:rsidRPr="009D1F61">
                <w:rPr>
                  <w:rStyle w:val="Hyperlink"/>
                  <w:rFonts w:ascii="Arial" w:hAnsi="Arial" w:cs="Arial"/>
                  <w:sz w:val="20"/>
                  <w:szCs w:val="20"/>
                </w:rPr>
                <w:t>D combined money and non-money prize (coin pusher or penny falls machine)</w:t>
              </w:r>
            </w:hyperlink>
          </w:p>
        </w:tc>
        <w:tc>
          <w:tcPr>
            <w:tcW w:w="1559" w:type="dxa"/>
            <w:shd w:val="clear" w:color="auto" w:fill="D9D9D9" w:themeFill="background1" w:themeFillShade="D9"/>
          </w:tcPr>
          <w:p w14:paraId="1C3BA782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20p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795E684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r w:rsidRPr="009D1F61">
              <w:rPr>
                <w:rFonts w:ascii="Arial" w:hAnsi="Arial" w:cs="Arial"/>
                <w:sz w:val="20"/>
                <w:szCs w:val="20"/>
              </w:rPr>
              <w:t>£20 (of which no more than £10 may be a money prize)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0CB929F4" w14:textId="77777777" w:rsidR="00657F95" w:rsidRPr="009D1F61" w:rsidRDefault="00657F95" w:rsidP="00657F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1F6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9D1F61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</w:tr>
    </w:tbl>
    <w:p w14:paraId="1184AECB" w14:textId="77777777" w:rsidR="00F3163D" w:rsidRPr="009D1F61" w:rsidRDefault="00F3163D">
      <w:pPr>
        <w:rPr>
          <w:rFonts w:ascii="Arial" w:hAnsi="Arial" w:cs="Arial"/>
          <w:sz w:val="20"/>
          <w:szCs w:val="20"/>
        </w:rPr>
      </w:pPr>
    </w:p>
    <w:sectPr w:rsidR="00F3163D" w:rsidRPr="009D1F61" w:rsidSect="00D6125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0648" w14:textId="77777777" w:rsidR="00717653" w:rsidRDefault="00717653" w:rsidP="003E6AD8">
      <w:pPr>
        <w:spacing w:after="0" w:line="240" w:lineRule="auto"/>
      </w:pPr>
      <w:r>
        <w:separator/>
      </w:r>
    </w:p>
  </w:endnote>
  <w:endnote w:type="continuationSeparator" w:id="0">
    <w:p w14:paraId="37C8BA1C" w14:textId="77777777" w:rsidR="00717653" w:rsidRDefault="00717653" w:rsidP="003E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8F35" w14:textId="77777777" w:rsidR="00A67E5B" w:rsidRDefault="00A6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BA0" w14:textId="77777777" w:rsidR="00A67E5B" w:rsidRDefault="00A6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0A35" w14:textId="77777777" w:rsidR="00A67E5B" w:rsidRDefault="00A6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788FF" w14:textId="77777777" w:rsidR="00717653" w:rsidRDefault="00717653" w:rsidP="003E6AD8">
      <w:pPr>
        <w:spacing w:after="0" w:line="240" w:lineRule="auto"/>
      </w:pPr>
      <w:r>
        <w:separator/>
      </w:r>
    </w:p>
  </w:footnote>
  <w:footnote w:type="continuationSeparator" w:id="0">
    <w:p w14:paraId="1280EF09" w14:textId="77777777" w:rsidR="00717653" w:rsidRDefault="00717653" w:rsidP="003E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3617" w14:textId="77777777" w:rsidR="00A67E5B" w:rsidRDefault="00A6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073B" w14:textId="77777777" w:rsidR="00A67E5B" w:rsidRDefault="00A6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26"/>
      <w:gridCol w:w="2410"/>
    </w:tblGrid>
    <w:tr w:rsidR="0014089C" w14:paraId="0046DE14" w14:textId="77777777" w:rsidTr="00D61254">
      <w:tc>
        <w:tcPr>
          <w:tcW w:w="1526" w:type="dxa"/>
        </w:tcPr>
        <w:p w14:paraId="57913533" w14:textId="77777777" w:rsidR="0014089C" w:rsidRPr="001A3C9E" w:rsidRDefault="0014089C" w:rsidP="00D61254">
          <w:pPr>
            <w:pStyle w:val="Header"/>
            <w:rPr>
              <w:rFonts w:ascii="Arial" w:hAnsi="Arial" w:cs="Arial"/>
            </w:rPr>
          </w:pPr>
          <w:r w:rsidRPr="001A3C9E">
            <w:rPr>
              <w:rFonts w:ascii="Arial" w:hAnsi="Arial" w:cs="Arial"/>
            </w:rPr>
            <w:t>Visit Date</w:t>
          </w:r>
        </w:p>
      </w:tc>
      <w:tc>
        <w:tcPr>
          <w:tcW w:w="2410" w:type="dxa"/>
        </w:tcPr>
        <w:p w14:paraId="78B2D94A" w14:textId="77777777" w:rsidR="0014089C" w:rsidRPr="001A3C9E" w:rsidRDefault="0014089C" w:rsidP="00D61254">
          <w:pPr>
            <w:pStyle w:val="Header"/>
            <w:rPr>
              <w:rFonts w:ascii="Arial" w:hAnsi="Arial" w:cs="Arial"/>
            </w:rPr>
          </w:pPr>
        </w:p>
      </w:tc>
    </w:tr>
    <w:tr w:rsidR="0014089C" w14:paraId="7564807F" w14:textId="77777777" w:rsidTr="00D61254">
      <w:tc>
        <w:tcPr>
          <w:tcW w:w="1526" w:type="dxa"/>
        </w:tcPr>
        <w:p w14:paraId="39C251D9" w14:textId="77777777" w:rsidR="0014089C" w:rsidRPr="001A3C9E" w:rsidRDefault="0014089C" w:rsidP="00D61254">
          <w:pPr>
            <w:pStyle w:val="Header"/>
            <w:rPr>
              <w:rFonts w:ascii="Arial" w:hAnsi="Arial" w:cs="Arial"/>
            </w:rPr>
          </w:pPr>
          <w:r w:rsidRPr="001A3C9E">
            <w:rPr>
              <w:rFonts w:ascii="Arial" w:hAnsi="Arial" w:cs="Arial"/>
            </w:rPr>
            <w:t>Visit Time</w:t>
          </w:r>
        </w:p>
      </w:tc>
      <w:tc>
        <w:tcPr>
          <w:tcW w:w="2410" w:type="dxa"/>
        </w:tcPr>
        <w:p w14:paraId="6ECACE98" w14:textId="77777777" w:rsidR="0014089C" w:rsidRPr="001A3C9E" w:rsidRDefault="0014089C" w:rsidP="00D61254">
          <w:pPr>
            <w:pStyle w:val="Header"/>
            <w:rPr>
              <w:rFonts w:ascii="Arial" w:hAnsi="Arial" w:cs="Arial"/>
            </w:rPr>
          </w:pPr>
        </w:p>
      </w:tc>
    </w:tr>
  </w:tbl>
  <w:p w14:paraId="2BA27BE7" w14:textId="77777777" w:rsidR="0014089C" w:rsidRDefault="00140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83E"/>
    <w:multiLevelType w:val="hybridMultilevel"/>
    <w:tmpl w:val="595A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E3F"/>
    <w:multiLevelType w:val="hybridMultilevel"/>
    <w:tmpl w:val="464A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1D4"/>
    <w:multiLevelType w:val="hybridMultilevel"/>
    <w:tmpl w:val="8836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3677"/>
    <w:multiLevelType w:val="hybridMultilevel"/>
    <w:tmpl w:val="86B6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BFA"/>
    <w:multiLevelType w:val="hybridMultilevel"/>
    <w:tmpl w:val="87B0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613F"/>
    <w:multiLevelType w:val="hybridMultilevel"/>
    <w:tmpl w:val="DA08F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3C1"/>
    <w:multiLevelType w:val="hybridMultilevel"/>
    <w:tmpl w:val="0A62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15E52"/>
    <w:multiLevelType w:val="hybridMultilevel"/>
    <w:tmpl w:val="2FFAF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C1524"/>
    <w:multiLevelType w:val="hybridMultilevel"/>
    <w:tmpl w:val="55EC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C72B7"/>
    <w:multiLevelType w:val="hybridMultilevel"/>
    <w:tmpl w:val="3C96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1197"/>
    <w:multiLevelType w:val="hybridMultilevel"/>
    <w:tmpl w:val="098A3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B4BE4"/>
    <w:multiLevelType w:val="hybridMultilevel"/>
    <w:tmpl w:val="3E88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E5B5A"/>
    <w:multiLevelType w:val="hybridMultilevel"/>
    <w:tmpl w:val="7A08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21F3"/>
    <w:multiLevelType w:val="hybridMultilevel"/>
    <w:tmpl w:val="2500D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08"/>
    <w:rsid w:val="000070F3"/>
    <w:rsid w:val="00014CB6"/>
    <w:rsid w:val="000261AA"/>
    <w:rsid w:val="000904E7"/>
    <w:rsid w:val="000A606B"/>
    <w:rsid w:val="000A6F05"/>
    <w:rsid w:val="000B3ACF"/>
    <w:rsid w:val="000D2AE9"/>
    <w:rsid w:val="000D5881"/>
    <w:rsid w:val="000E5D44"/>
    <w:rsid w:val="00102155"/>
    <w:rsid w:val="00107D30"/>
    <w:rsid w:val="0014089C"/>
    <w:rsid w:val="00190636"/>
    <w:rsid w:val="00193D08"/>
    <w:rsid w:val="001A0D54"/>
    <w:rsid w:val="001A3C9E"/>
    <w:rsid w:val="00205DC4"/>
    <w:rsid w:val="00230458"/>
    <w:rsid w:val="00234A7A"/>
    <w:rsid w:val="00241999"/>
    <w:rsid w:val="002505A5"/>
    <w:rsid w:val="002A4C5E"/>
    <w:rsid w:val="002B4D75"/>
    <w:rsid w:val="002D7BB3"/>
    <w:rsid w:val="00311A17"/>
    <w:rsid w:val="003124A3"/>
    <w:rsid w:val="003133FD"/>
    <w:rsid w:val="00320A38"/>
    <w:rsid w:val="00325B51"/>
    <w:rsid w:val="00337006"/>
    <w:rsid w:val="0034112F"/>
    <w:rsid w:val="00361469"/>
    <w:rsid w:val="00364C58"/>
    <w:rsid w:val="00392451"/>
    <w:rsid w:val="003D250A"/>
    <w:rsid w:val="003E6AD8"/>
    <w:rsid w:val="004113A4"/>
    <w:rsid w:val="00420CDC"/>
    <w:rsid w:val="00472878"/>
    <w:rsid w:val="004D6C69"/>
    <w:rsid w:val="004F0C6D"/>
    <w:rsid w:val="00500279"/>
    <w:rsid w:val="00590CA3"/>
    <w:rsid w:val="005A2AD6"/>
    <w:rsid w:val="005D3358"/>
    <w:rsid w:val="005E7DBB"/>
    <w:rsid w:val="006107F3"/>
    <w:rsid w:val="00646F92"/>
    <w:rsid w:val="00657F95"/>
    <w:rsid w:val="0069162D"/>
    <w:rsid w:val="006B043D"/>
    <w:rsid w:val="006E2938"/>
    <w:rsid w:val="006F3725"/>
    <w:rsid w:val="00707293"/>
    <w:rsid w:val="00717653"/>
    <w:rsid w:val="007224E3"/>
    <w:rsid w:val="00786689"/>
    <w:rsid w:val="007A5EC2"/>
    <w:rsid w:val="007A65B5"/>
    <w:rsid w:val="007A787E"/>
    <w:rsid w:val="0081035D"/>
    <w:rsid w:val="008628FC"/>
    <w:rsid w:val="00880191"/>
    <w:rsid w:val="008A3F1A"/>
    <w:rsid w:val="008A5293"/>
    <w:rsid w:val="008B1BEF"/>
    <w:rsid w:val="008B2C49"/>
    <w:rsid w:val="008C1F47"/>
    <w:rsid w:val="008D6723"/>
    <w:rsid w:val="008F089B"/>
    <w:rsid w:val="0090306F"/>
    <w:rsid w:val="00952954"/>
    <w:rsid w:val="00955A23"/>
    <w:rsid w:val="00993F30"/>
    <w:rsid w:val="009B24B9"/>
    <w:rsid w:val="009B44ED"/>
    <w:rsid w:val="009C764F"/>
    <w:rsid w:val="009D1F61"/>
    <w:rsid w:val="009E4B5E"/>
    <w:rsid w:val="00A22760"/>
    <w:rsid w:val="00A325D9"/>
    <w:rsid w:val="00A67E5B"/>
    <w:rsid w:val="00A847DD"/>
    <w:rsid w:val="00AC6206"/>
    <w:rsid w:val="00B11ADE"/>
    <w:rsid w:val="00B219A0"/>
    <w:rsid w:val="00B425DC"/>
    <w:rsid w:val="00B7112B"/>
    <w:rsid w:val="00B876C5"/>
    <w:rsid w:val="00B908D1"/>
    <w:rsid w:val="00BA2080"/>
    <w:rsid w:val="00BC4CA9"/>
    <w:rsid w:val="00BE21D0"/>
    <w:rsid w:val="00BF0E68"/>
    <w:rsid w:val="00BF2C66"/>
    <w:rsid w:val="00C0348B"/>
    <w:rsid w:val="00C04201"/>
    <w:rsid w:val="00C12442"/>
    <w:rsid w:val="00C14D34"/>
    <w:rsid w:val="00C94CF1"/>
    <w:rsid w:val="00CC5611"/>
    <w:rsid w:val="00D123EA"/>
    <w:rsid w:val="00D464A8"/>
    <w:rsid w:val="00D54661"/>
    <w:rsid w:val="00D61254"/>
    <w:rsid w:val="00D724B5"/>
    <w:rsid w:val="00DA1ED4"/>
    <w:rsid w:val="00DC359C"/>
    <w:rsid w:val="00DC7DBA"/>
    <w:rsid w:val="00DF608C"/>
    <w:rsid w:val="00E20EAD"/>
    <w:rsid w:val="00F110F0"/>
    <w:rsid w:val="00F3163D"/>
    <w:rsid w:val="00F42A6A"/>
    <w:rsid w:val="00F47A30"/>
    <w:rsid w:val="00F514A6"/>
    <w:rsid w:val="00FD6FFE"/>
    <w:rsid w:val="00FE617C"/>
    <w:rsid w:val="00FF48C2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5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4B9"/>
  </w:style>
  <w:style w:type="paragraph" w:styleId="Heading1">
    <w:name w:val="heading 1"/>
    <w:basedOn w:val="Normal"/>
    <w:next w:val="Normal"/>
    <w:link w:val="Heading1Char"/>
    <w:uiPriority w:val="9"/>
    <w:qFormat/>
    <w:rsid w:val="009B24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4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4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4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4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4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4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4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63D"/>
    <w:rPr>
      <w:b/>
      <w:bCs/>
      <w:strike w:val="0"/>
      <w:dstrike w:val="0"/>
      <w:color w:val="2C3437"/>
      <w:u w:val="none"/>
      <w:effect w:val="none"/>
    </w:rPr>
  </w:style>
  <w:style w:type="table" w:styleId="TableGrid">
    <w:name w:val="Table Grid"/>
    <w:basedOn w:val="TableNormal"/>
    <w:uiPriority w:val="59"/>
    <w:rsid w:val="00F3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4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4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4B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4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4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4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4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4B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4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24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4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4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4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24B9"/>
    <w:rPr>
      <w:b/>
      <w:bCs/>
    </w:rPr>
  </w:style>
  <w:style w:type="character" w:styleId="Emphasis">
    <w:name w:val="Emphasis"/>
    <w:uiPriority w:val="20"/>
    <w:qFormat/>
    <w:rsid w:val="009B24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24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24B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24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4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4B9"/>
    <w:rPr>
      <w:b/>
      <w:bCs/>
      <w:i/>
      <w:iCs/>
    </w:rPr>
  </w:style>
  <w:style w:type="character" w:styleId="SubtleEmphasis">
    <w:name w:val="Subtle Emphasis"/>
    <w:uiPriority w:val="19"/>
    <w:qFormat/>
    <w:rsid w:val="009B24B9"/>
    <w:rPr>
      <w:i/>
      <w:iCs/>
    </w:rPr>
  </w:style>
  <w:style w:type="character" w:styleId="IntenseEmphasis">
    <w:name w:val="Intense Emphasis"/>
    <w:uiPriority w:val="21"/>
    <w:qFormat/>
    <w:rsid w:val="009B24B9"/>
    <w:rPr>
      <w:b/>
      <w:bCs/>
    </w:rPr>
  </w:style>
  <w:style w:type="character" w:styleId="SubtleReference">
    <w:name w:val="Subtle Reference"/>
    <w:uiPriority w:val="31"/>
    <w:qFormat/>
    <w:rsid w:val="009B24B9"/>
    <w:rPr>
      <w:smallCaps/>
    </w:rPr>
  </w:style>
  <w:style w:type="character" w:styleId="IntenseReference">
    <w:name w:val="Intense Reference"/>
    <w:uiPriority w:val="32"/>
    <w:qFormat/>
    <w:rsid w:val="009B24B9"/>
    <w:rPr>
      <w:smallCaps/>
      <w:spacing w:val="5"/>
      <w:u w:val="single"/>
    </w:rPr>
  </w:style>
  <w:style w:type="character" w:styleId="BookTitle">
    <w:name w:val="Book Title"/>
    <w:uiPriority w:val="33"/>
    <w:qFormat/>
    <w:rsid w:val="009B24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4B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6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D8"/>
  </w:style>
  <w:style w:type="paragraph" w:styleId="Footer">
    <w:name w:val="footer"/>
    <w:basedOn w:val="Normal"/>
    <w:link w:val="FooterChar"/>
    <w:uiPriority w:val="99"/>
    <w:unhideWhenUsed/>
    <w:rsid w:val="003E6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D8"/>
  </w:style>
  <w:style w:type="paragraph" w:styleId="FootnoteText">
    <w:name w:val="footnote text"/>
    <w:basedOn w:val="Normal"/>
    <w:link w:val="FootnoteTextChar"/>
    <w:uiPriority w:val="99"/>
    <w:semiHidden/>
    <w:unhideWhenUsed/>
    <w:rsid w:val="002B4D75"/>
    <w:pPr>
      <w:spacing w:after="0" w:line="240" w:lineRule="auto"/>
    </w:pPr>
    <w:rPr>
      <w:rFonts w:eastAsiaTheme="minorHAnsi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75"/>
    <w:rPr>
      <w:rFonts w:eastAsiaTheme="minorHAnsi"/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B4D7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value">
    <w:name w:val="value"/>
    <w:basedOn w:val="DefaultParagraphFont"/>
    <w:rsid w:val="00337006"/>
  </w:style>
  <w:style w:type="character" w:styleId="FollowedHyperlink">
    <w:name w:val="FollowedHyperlink"/>
    <w:basedOn w:val="DefaultParagraphFont"/>
    <w:uiPriority w:val="99"/>
    <w:semiHidden/>
    <w:unhideWhenUsed/>
    <w:rsid w:val="00786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mblingcommission.gov.uk" TargetMode="External"/><Relationship Id="rId18" Type="http://schemas.openxmlformats.org/officeDocument/2006/relationships/hyperlink" Target="http://www.gamblingcommission.gov.uk/Gambling-sectors/Gaming-machines/About-gaming-machines/Gaming-machine-categories/Category-B4-machines.asp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gamblingcommission.gov.uk/Gambling-sectors/Gaming-machines/About-gaming-machines/Gaming-machine-categories/Category-D-machin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telligencereports@gamblingcommission.gov.uk" TargetMode="External"/><Relationship Id="rId17" Type="http://schemas.openxmlformats.org/officeDocument/2006/relationships/hyperlink" Target="http://www.gamblingcommission.gov.uk/Gambling-sectors/Gaming-machines/About-gaming-machines/Gaming-machine-categories/Category-B3-machines.asp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mblingcommission.gov.uk/Gambling-sectors/Gaming-machines/About-gaming-machines/Gaming-machine-categories/Category-B2-machines.aspx" TargetMode="External"/><Relationship Id="rId20" Type="http://schemas.openxmlformats.org/officeDocument/2006/relationships/hyperlink" Target="http://www.gamblingcommission.gov.uk/Gambling-sectors/Gaming-machines/About-gaming-machines/Gaming-machine-categories/Category-D-machines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mblingcommission.gov.uk/pdf/Illegal-gaming-machines-a-quick-guide-for-licensing-officers.pdf" TargetMode="External"/><Relationship Id="rId24" Type="http://schemas.openxmlformats.org/officeDocument/2006/relationships/hyperlink" Target="http://www.gamblingcommission.gov.uk/Gambling-sectors/Gaming-machines/About-gaming-machines/Gaming-machine-categories/Category-D-machines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amblingcommission.gov.uk/Gambling-sectors/Casinos/Operating-licence-holders/Key-information/Gaming-machines-on-casino-premises.aspx" TargetMode="External"/><Relationship Id="rId23" Type="http://schemas.openxmlformats.org/officeDocument/2006/relationships/hyperlink" Target="http://www.gamblingcommission.gov.uk/Gambling-sectors/Gaming-machines/About-gaming-machines/Gaming-machine-categories/Category-D-machines.aspx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amblingcommission.gov.uk/Gambling-sectors/Gaming-machines/About-gaming-machines/Gaming-machine-categories/Category-C-machines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mblingcommission.gov.uk/pdf/Illegal-siting-of-gaming-machines-a-quick-guide-for-small-businesses.pdf" TargetMode="External"/><Relationship Id="rId22" Type="http://schemas.openxmlformats.org/officeDocument/2006/relationships/hyperlink" Target="http://www.gamblingcommission.gov.uk/Gambling-sectors/Gaming-machines/About-gaming-machines/Gaming-machine-categories/Category-D-machines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9338BC1758D4A94F37133C01BBA0F" ma:contentTypeVersion="9" ma:contentTypeDescription="Create a new document." ma:contentTypeScope="" ma:versionID="08236f535ca99a25760d87c405d33c40">
  <xsd:schema xmlns:xsd="http://www.w3.org/2001/XMLSchema" xmlns:xs="http://www.w3.org/2001/XMLSchema" xmlns:p="http://schemas.microsoft.com/office/2006/metadata/properties" xmlns:ns3="be7c0529-866c-43f3-b01f-6b6b6396b048" targetNamespace="http://schemas.microsoft.com/office/2006/metadata/properties" ma:root="true" ma:fieldsID="1db7083cccad0702088578bb3036fbb1" ns3:_="">
    <xsd:import namespace="be7c0529-866c-43f3-b01f-6b6b6396b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0529-866c-43f3-b01f-6b6b6396b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F3427-EE51-44A2-AC79-8144FDF8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c0529-866c-43f3-b01f-6b6b6396b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A792B-44ED-4DBD-A179-FEA9F5B06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5D8FC-59F4-418B-AA3B-E7E913334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620D8-A42F-48A6-8BEC-9A7FAA9F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2021-01-08T16:29:00Z</dcterms:created>
  <dcterms:modified xsi:type="dcterms:W3CDTF">2021-01-08T16:29:00Z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0x010100BAB9338BC1758D4A94F37133C01BBA0F</vt:lpwstr>
  </property>
</Properties>
</file>