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34595" w14:textId="45BFB64D" w:rsidR="009B5026" w:rsidRPr="00772364" w:rsidRDefault="0037484C" w:rsidP="009C5FAC">
      <w:pPr>
        <w:rPr>
          <w:rFonts w:ascii="Arial" w:hAnsi="Arial" w:cs="Arial"/>
          <w:color w:val="000000" w:themeColor="text1"/>
          <w:sz w:val="22"/>
          <w:szCs w:val="22"/>
        </w:rPr>
      </w:pPr>
      <w:bookmarkStart w:id="0" w:name="_GoBack"/>
      <w:bookmarkEnd w:id="0"/>
      <w:r>
        <w:rPr>
          <w:rFonts w:ascii="Arial" w:hAnsi="Arial" w:cs="Arial"/>
          <w:noProof/>
          <w:color w:val="000000" w:themeColor="text1"/>
          <w:sz w:val="22"/>
          <w:szCs w:val="22"/>
        </w:rPr>
        <w:drawing>
          <wp:inline distT="0" distB="0" distL="0" distR="0" wp14:anchorId="255A4155" wp14:editId="78509060">
            <wp:extent cx="5414010"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4010" cy="993775"/>
                    </a:xfrm>
                    <a:prstGeom prst="rect">
                      <a:avLst/>
                    </a:prstGeom>
                    <a:noFill/>
                  </pic:spPr>
                </pic:pic>
              </a:graphicData>
            </a:graphic>
          </wp:inline>
        </w:drawing>
      </w:r>
    </w:p>
    <w:p w14:paraId="50834596" w14:textId="77777777" w:rsidR="009B5026" w:rsidRPr="00772364" w:rsidRDefault="009B5026" w:rsidP="009C5FAC">
      <w:pPr>
        <w:rPr>
          <w:rFonts w:ascii="Arial" w:hAnsi="Arial" w:cs="Arial"/>
          <w:color w:val="000000" w:themeColor="text1"/>
          <w:sz w:val="22"/>
          <w:szCs w:val="22"/>
        </w:rPr>
      </w:pPr>
    </w:p>
    <w:p w14:paraId="50834598" w14:textId="77777777" w:rsidR="009B5026" w:rsidRPr="00772364" w:rsidRDefault="009B5026" w:rsidP="0037484C">
      <w:pPr>
        <w:ind w:right="-46"/>
        <w:jc w:val="center"/>
        <w:rPr>
          <w:rFonts w:ascii="Arial" w:hAnsi="Arial" w:cs="Arial"/>
          <w:b/>
          <w:color w:val="000000" w:themeColor="text1"/>
          <w:sz w:val="28"/>
          <w:szCs w:val="28"/>
        </w:rPr>
      </w:pPr>
      <w:r w:rsidRPr="00772364">
        <w:rPr>
          <w:rFonts w:ascii="Arial" w:hAnsi="Arial" w:cs="Arial"/>
          <w:b/>
          <w:color w:val="000000" w:themeColor="text1"/>
          <w:sz w:val="28"/>
          <w:szCs w:val="28"/>
        </w:rPr>
        <w:t>Gambling Act 2005</w:t>
      </w:r>
    </w:p>
    <w:p w14:paraId="50834599" w14:textId="77777777" w:rsidR="004A419D" w:rsidRPr="00772364" w:rsidRDefault="004A419D" w:rsidP="00E16870">
      <w:pPr>
        <w:ind w:right="-46"/>
        <w:jc w:val="center"/>
        <w:rPr>
          <w:rFonts w:ascii="Arial" w:hAnsi="Arial" w:cs="Arial"/>
          <w:b/>
          <w:color w:val="000000" w:themeColor="text1"/>
          <w:sz w:val="28"/>
          <w:szCs w:val="28"/>
        </w:rPr>
      </w:pPr>
    </w:p>
    <w:p w14:paraId="5083459A" w14:textId="77777777" w:rsidR="006D0374" w:rsidRPr="00772364" w:rsidRDefault="009B5026" w:rsidP="004F5112">
      <w:pPr>
        <w:jc w:val="center"/>
        <w:rPr>
          <w:rFonts w:ascii="Arial" w:hAnsi="Arial" w:cs="Arial"/>
          <w:b/>
          <w:color w:val="000000" w:themeColor="text1"/>
          <w:sz w:val="28"/>
          <w:szCs w:val="28"/>
        </w:rPr>
      </w:pPr>
      <w:r w:rsidRPr="00772364">
        <w:rPr>
          <w:rFonts w:ascii="Arial" w:hAnsi="Arial" w:cs="Arial"/>
          <w:b/>
          <w:color w:val="000000" w:themeColor="text1"/>
          <w:sz w:val="28"/>
          <w:szCs w:val="28"/>
        </w:rPr>
        <w:t xml:space="preserve">Your </w:t>
      </w:r>
      <w:r w:rsidR="008D7A96" w:rsidRPr="00772364">
        <w:rPr>
          <w:rFonts w:ascii="Arial" w:hAnsi="Arial" w:cs="Arial"/>
          <w:b/>
          <w:color w:val="000000" w:themeColor="text1"/>
          <w:sz w:val="28"/>
          <w:szCs w:val="28"/>
        </w:rPr>
        <w:t>g</w:t>
      </w:r>
      <w:r w:rsidR="004A419D" w:rsidRPr="00772364">
        <w:rPr>
          <w:rFonts w:ascii="Arial" w:hAnsi="Arial" w:cs="Arial"/>
          <w:b/>
          <w:color w:val="000000" w:themeColor="text1"/>
          <w:sz w:val="28"/>
          <w:szCs w:val="28"/>
        </w:rPr>
        <w:t xml:space="preserve">uide </w:t>
      </w:r>
      <w:r w:rsidRPr="00772364">
        <w:rPr>
          <w:rFonts w:ascii="Arial" w:hAnsi="Arial" w:cs="Arial"/>
          <w:b/>
          <w:color w:val="000000" w:themeColor="text1"/>
          <w:sz w:val="28"/>
          <w:szCs w:val="28"/>
        </w:rPr>
        <w:t xml:space="preserve">to </w:t>
      </w:r>
      <w:r w:rsidR="008D7A96" w:rsidRPr="00772364">
        <w:rPr>
          <w:rFonts w:ascii="Arial" w:hAnsi="Arial" w:cs="Arial"/>
          <w:b/>
          <w:color w:val="000000" w:themeColor="text1"/>
          <w:sz w:val="28"/>
          <w:szCs w:val="28"/>
        </w:rPr>
        <w:t>c</w:t>
      </w:r>
      <w:r w:rsidR="004A419D" w:rsidRPr="00772364">
        <w:rPr>
          <w:rFonts w:ascii="Arial" w:hAnsi="Arial" w:cs="Arial"/>
          <w:b/>
          <w:color w:val="000000" w:themeColor="text1"/>
          <w:sz w:val="28"/>
          <w:szCs w:val="28"/>
        </w:rPr>
        <w:t xml:space="preserve">ompliance </w:t>
      </w:r>
      <w:r w:rsidR="008D7A96" w:rsidRPr="00772364">
        <w:rPr>
          <w:rFonts w:ascii="Arial" w:hAnsi="Arial" w:cs="Arial"/>
          <w:b/>
          <w:color w:val="000000" w:themeColor="text1"/>
          <w:sz w:val="28"/>
          <w:szCs w:val="28"/>
        </w:rPr>
        <w:t>v</w:t>
      </w:r>
      <w:r w:rsidR="004A419D" w:rsidRPr="00772364">
        <w:rPr>
          <w:rFonts w:ascii="Arial" w:hAnsi="Arial" w:cs="Arial"/>
          <w:b/>
          <w:color w:val="000000" w:themeColor="text1"/>
          <w:sz w:val="28"/>
          <w:szCs w:val="28"/>
        </w:rPr>
        <w:t xml:space="preserve">isits </w:t>
      </w:r>
      <w:r w:rsidRPr="00772364">
        <w:rPr>
          <w:rFonts w:ascii="Arial" w:hAnsi="Arial" w:cs="Arial"/>
          <w:b/>
          <w:color w:val="000000" w:themeColor="text1"/>
          <w:sz w:val="28"/>
          <w:szCs w:val="28"/>
        </w:rPr>
        <w:t xml:space="preserve">by </w:t>
      </w:r>
      <w:r w:rsidR="004A419D" w:rsidRPr="00772364">
        <w:rPr>
          <w:rFonts w:ascii="Arial" w:hAnsi="Arial" w:cs="Arial"/>
          <w:b/>
          <w:color w:val="000000" w:themeColor="text1"/>
          <w:sz w:val="28"/>
          <w:szCs w:val="28"/>
        </w:rPr>
        <w:t>Authorised Local Authority Officers</w:t>
      </w:r>
      <w:r w:rsidR="004F5112" w:rsidRPr="00772364">
        <w:rPr>
          <w:rFonts w:ascii="Arial" w:hAnsi="Arial" w:cs="Arial"/>
          <w:b/>
          <w:color w:val="000000" w:themeColor="text1"/>
          <w:sz w:val="28"/>
          <w:szCs w:val="28"/>
        </w:rPr>
        <w:t xml:space="preserve"> - </w:t>
      </w:r>
      <w:r w:rsidR="00255BD6" w:rsidRPr="00772364">
        <w:rPr>
          <w:rFonts w:ascii="Arial" w:hAnsi="Arial" w:cs="Arial"/>
          <w:b/>
          <w:color w:val="000000" w:themeColor="text1"/>
          <w:sz w:val="28"/>
          <w:szCs w:val="28"/>
        </w:rPr>
        <w:t>Licensed Family Entertainment C</w:t>
      </w:r>
      <w:r w:rsidR="004F5112" w:rsidRPr="00772364">
        <w:rPr>
          <w:rFonts w:ascii="Arial" w:hAnsi="Arial" w:cs="Arial"/>
          <w:b/>
          <w:color w:val="000000" w:themeColor="text1"/>
          <w:sz w:val="28"/>
          <w:szCs w:val="28"/>
        </w:rPr>
        <w:t>entres</w:t>
      </w:r>
    </w:p>
    <w:p w14:paraId="5083459B" w14:textId="77777777" w:rsidR="009B5026" w:rsidRPr="00772364" w:rsidRDefault="009B5026" w:rsidP="00E16870">
      <w:pPr>
        <w:ind w:right="-46"/>
        <w:rPr>
          <w:rFonts w:ascii="Arial" w:hAnsi="Arial" w:cs="Arial"/>
          <w:color w:val="000000" w:themeColor="text1"/>
          <w:sz w:val="22"/>
          <w:szCs w:val="22"/>
        </w:rPr>
      </w:pPr>
    </w:p>
    <w:p w14:paraId="5083459C"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About this leaflet</w:t>
      </w:r>
    </w:p>
    <w:p w14:paraId="5083459D" w14:textId="77777777" w:rsidR="00707644" w:rsidRPr="00772364" w:rsidRDefault="00707644" w:rsidP="002A5663">
      <w:pPr>
        <w:ind w:right="-46"/>
        <w:jc w:val="both"/>
        <w:rPr>
          <w:rFonts w:ascii="Arial" w:hAnsi="Arial" w:cs="Arial"/>
          <w:b/>
          <w:color w:val="000000" w:themeColor="text1"/>
          <w:sz w:val="22"/>
          <w:szCs w:val="22"/>
        </w:rPr>
      </w:pPr>
    </w:p>
    <w:p w14:paraId="5083459E"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This leaflet is intended to provide basic information to the holders of premises licences and permits under the </w:t>
      </w:r>
      <w:r w:rsidRPr="00772364">
        <w:rPr>
          <w:rFonts w:ascii="Arial" w:hAnsi="Arial" w:cs="Arial"/>
          <w:i/>
          <w:color w:val="000000" w:themeColor="text1"/>
          <w:sz w:val="22"/>
          <w:szCs w:val="22"/>
        </w:rPr>
        <w:t>Gambling Act 2005</w:t>
      </w:r>
      <w:r w:rsidRPr="00772364">
        <w:rPr>
          <w:rFonts w:ascii="Arial" w:hAnsi="Arial" w:cs="Arial"/>
          <w:color w:val="000000" w:themeColor="text1"/>
          <w:sz w:val="22"/>
          <w:szCs w:val="22"/>
        </w:rPr>
        <w:t xml:space="preserve">, and the staff who are responsible for the management of licensed gambling premises.  The leaflet also provides information about the nature of compliance visits to your premises by Authorised Local Authority Officers.  </w:t>
      </w:r>
    </w:p>
    <w:p w14:paraId="5083459F" w14:textId="77777777" w:rsidR="00707644" w:rsidRPr="00772364" w:rsidRDefault="00707644" w:rsidP="002A5663">
      <w:pPr>
        <w:ind w:right="-46"/>
        <w:jc w:val="both"/>
        <w:rPr>
          <w:rFonts w:ascii="Arial" w:hAnsi="Arial" w:cs="Arial"/>
          <w:color w:val="000000" w:themeColor="text1"/>
          <w:sz w:val="22"/>
          <w:szCs w:val="22"/>
        </w:rPr>
      </w:pPr>
    </w:p>
    <w:p w14:paraId="508345A0"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It may be useful to share this leaflet with other employees in the business.  </w:t>
      </w:r>
    </w:p>
    <w:p w14:paraId="508345A1" w14:textId="77777777" w:rsidR="00707644" w:rsidRPr="00772364" w:rsidRDefault="00707644" w:rsidP="002A5663">
      <w:pPr>
        <w:ind w:right="-46"/>
        <w:jc w:val="both"/>
        <w:rPr>
          <w:rFonts w:ascii="Arial" w:hAnsi="Arial" w:cs="Arial"/>
          <w:color w:val="000000" w:themeColor="text1"/>
          <w:sz w:val="22"/>
          <w:szCs w:val="22"/>
        </w:rPr>
      </w:pPr>
    </w:p>
    <w:p w14:paraId="508345A2"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Who is responsible for compliance and enforcement of the Gambling Act 2005?</w:t>
      </w:r>
    </w:p>
    <w:p w14:paraId="508345A3" w14:textId="77777777" w:rsidR="00707644" w:rsidRPr="00772364" w:rsidRDefault="00707644" w:rsidP="002A5663">
      <w:pPr>
        <w:ind w:right="-46"/>
        <w:jc w:val="both"/>
        <w:rPr>
          <w:rFonts w:ascii="Arial" w:hAnsi="Arial" w:cs="Arial"/>
          <w:b/>
          <w:color w:val="000000" w:themeColor="text1"/>
          <w:sz w:val="22"/>
          <w:szCs w:val="22"/>
        </w:rPr>
      </w:pPr>
    </w:p>
    <w:p w14:paraId="508345A4"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For the most part, responsibility for compliance and enforcement of the </w:t>
      </w:r>
      <w:r w:rsidRPr="00772364">
        <w:rPr>
          <w:rFonts w:ascii="Arial" w:hAnsi="Arial" w:cs="Arial"/>
          <w:i/>
          <w:color w:val="000000" w:themeColor="text1"/>
          <w:sz w:val="22"/>
          <w:szCs w:val="22"/>
        </w:rPr>
        <w:t>Gambling Act 2005</w:t>
      </w:r>
      <w:r w:rsidRPr="00772364">
        <w:rPr>
          <w:rFonts w:ascii="Arial" w:hAnsi="Arial" w:cs="Arial"/>
          <w:color w:val="000000" w:themeColor="text1"/>
          <w:sz w:val="22"/>
          <w:szCs w:val="22"/>
        </w:rPr>
        <w:t xml:space="preserve"> is shared between the Gambling Commission and local Councils (Local Authorities), who are referred to as Licensing Authorities’ in the Act. </w:t>
      </w:r>
    </w:p>
    <w:p w14:paraId="508345A5" w14:textId="77777777" w:rsidR="00707644" w:rsidRPr="00772364" w:rsidRDefault="00707644" w:rsidP="002A5663">
      <w:pPr>
        <w:ind w:right="-46"/>
        <w:jc w:val="both"/>
        <w:rPr>
          <w:rFonts w:ascii="Arial" w:hAnsi="Arial" w:cs="Arial"/>
          <w:color w:val="000000" w:themeColor="text1"/>
          <w:sz w:val="22"/>
          <w:szCs w:val="22"/>
        </w:rPr>
      </w:pPr>
    </w:p>
    <w:p w14:paraId="508345A6"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The Gambling Commission is primarily responsible for the operating and personal licences and Licensing Authorities for premises licences and permits.  Licensing Authorities will tend to focus on the impact of gambling provision on local communities while the Commission’s attention will more often be focused at a national level.</w:t>
      </w:r>
    </w:p>
    <w:p w14:paraId="508345A7" w14:textId="77777777" w:rsidR="00707644" w:rsidRPr="00772364" w:rsidRDefault="00707644" w:rsidP="002A5663">
      <w:pPr>
        <w:ind w:right="-46"/>
        <w:jc w:val="both"/>
        <w:rPr>
          <w:rFonts w:ascii="Arial" w:hAnsi="Arial" w:cs="Arial"/>
          <w:color w:val="000000" w:themeColor="text1"/>
          <w:sz w:val="22"/>
          <w:szCs w:val="22"/>
        </w:rPr>
      </w:pPr>
    </w:p>
    <w:p w14:paraId="508345A8"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The Gambling Commission and Licensing Authorities also work together to ensure compliance and to promote the licensing objectives as set out in the Act. These are:</w:t>
      </w:r>
    </w:p>
    <w:p w14:paraId="508345A9" w14:textId="77777777" w:rsidR="00707644" w:rsidRPr="00772364" w:rsidRDefault="00707644" w:rsidP="002A5663">
      <w:pPr>
        <w:ind w:right="-46"/>
        <w:jc w:val="both"/>
        <w:rPr>
          <w:rFonts w:ascii="Arial" w:hAnsi="Arial" w:cs="Arial"/>
          <w:color w:val="000000" w:themeColor="text1"/>
          <w:sz w:val="22"/>
          <w:szCs w:val="22"/>
        </w:rPr>
      </w:pPr>
    </w:p>
    <w:p w14:paraId="508345AA" w14:textId="77777777" w:rsidR="00707644" w:rsidRPr="00772364" w:rsidRDefault="00707644" w:rsidP="002A5663">
      <w:pPr>
        <w:numPr>
          <w:ilvl w:val="0"/>
          <w:numId w:val="19"/>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preventing gambling from being a source of crime or disorder, being associated with crime or disorder or being used to support crime,</w:t>
      </w:r>
    </w:p>
    <w:p w14:paraId="508345AB" w14:textId="77777777" w:rsidR="00707644" w:rsidRPr="00772364" w:rsidRDefault="00707644" w:rsidP="002A5663">
      <w:pPr>
        <w:numPr>
          <w:ilvl w:val="0"/>
          <w:numId w:val="19"/>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ensuring that gambling is conducted in a fair and open way, and</w:t>
      </w:r>
    </w:p>
    <w:p w14:paraId="508345AC" w14:textId="77777777" w:rsidR="00707644" w:rsidRPr="00772364" w:rsidRDefault="00707644" w:rsidP="002A5663">
      <w:pPr>
        <w:numPr>
          <w:ilvl w:val="0"/>
          <w:numId w:val="19"/>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protecting children and other vulnerable persons from being harmed or exploited by gambling.</w:t>
      </w:r>
    </w:p>
    <w:p w14:paraId="508345AD" w14:textId="77777777" w:rsidR="00707644" w:rsidRPr="00772364" w:rsidRDefault="00707644" w:rsidP="002A5663">
      <w:pPr>
        <w:ind w:right="-46"/>
        <w:jc w:val="both"/>
        <w:rPr>
          <w:rFonts w:ascii="Arial" w:hAnsi="Arial" w:cs="Arial"/>
          <w:color w:val="000000" w:themeColor="text1"/>
          <w:sz w:val="22"/>
          <w:szCs w:val="22"/>
        </w:rPr>
      </w:pPr>
    </w:p>
    <w:p w14:paraId="508345AE"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Ensuring compliance with the Gambling Act 2005</w:t>
      </w:r>
    </w:p>
    <w:p w14:paraId="508345AF" w14:textId="77777777" w:rsidR="00707644" w:rsidRPr="00772364" w:rsidRDefault="00707644" w:rsidP="002A5663">
      <w:pPr>
        <w:ind w:right="-46"/>
        <w:jc w:val="both"/>
        <w:rPr>
          <w:rFonts w:ascii="Arial" w:hAnsi="Arial" w:cs="Arial"/>
          <w:b/>
          <w:color w:val="000000" w:themeColor="text1"/>
          <w:sz w:val="22"/>
          <w:szCs w:val="22"/>
        </w:rPr>
      </w:pPr>
    </w:p>
    <w:p w14:paraId="508345B0"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One of the key methods used by the Licensing Authority to achieve compliance with the </w:t>
      </w:r>
      <w:r w:rsidRPr="00772364">
        <w:rPr>
          <w:rFonts w:ascii="Arial" w:hAnsi="Arial" w:cs="Arial"/>
          <w:i/>
          <w:color w:val="000000" w:themeColor="text1"/>
          <w:sz w:val="22"/>
          <w:szCs w:val="22"/>
        </w:rPr>
        <w:t>Gambling Act 2005</w:t>
      </w:r>
      <w:r w:rsidRPr="00772364">
        <w:rPr>
          <w:rFonts w:ascii="Arial" w:hAnsi="Arial" w:cs="Arial"/>
          <w:color w:val="000000" w:themeColor="text1"/>
          <w:sz w:val="22"/>
          <w:szCs w:val="22"/>
        </w:rPr>
        <w:t xml:space="preserve"> is to carry out visits to licensed premises.  Other methods may include the periodic review of premises licences and taking enforcement action when required, which can range from issuing written warnings to actual prosecutions.  </w:t>
      </w:r>
    </w:p>
    <w:p w14:paraId="508345B1" w14:textId="77777777" w:rsidR="00707644" w:rsidRPr="00772364" w:rsidRDefault="00707644" w:rsidP="002A5663">
      <w:pPr>
        <w:ind w:right="-46"/>
        <w:jc w:val="both"/>
        <w:rPr>
          <w:rFonts w:ascii="Arial" w:hAnsi="Arial" w:cs="Arial"/>
          <w:color w:val="000000" w:themeColor="text1"/>
          <w:sz w:val="22"/>
          <w:szCs w:val="22"/>
        </w:rPr>
      </w:pPr>
    </w:p>
    <w:p w14:paraId="508345B2"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When visiting your premises, the Authorised Local Authority Officer will be looking to check on your compliance with the </w:t>
      </w:r>
      <w:r w:rsidRPr="00772364">
        <w:rPr>
          <w:rFonts w:ascii="Arial" w:hAnsi="Arial" w:cs="Arial"/>
          <w:i/>
          <w:color w:val="000000" w:themeColor="text1"/>
          <w:sz w:val="22"/>
          <w:szCs w:val="22"/>
        </w:rPr>
        <w:t>Gambling Act 2005</w:t>
      </w:r>
      <w:r w:rsidRPr="00772364">
        <w:rPr>
          <w:rFonts w:ascii="Arial" w:hAnsi="Arial" w:cs="Arial"/>
          <w:color w:val="000000" w:themeColor="text1"/>
          <w:sz w:val="22"/>
          <w:szCs w:val="22"/>
        </w:rPr>
        <w:t>, premises licence conditions, and the codes of practice.</w:t>
      </w:r>
    </w:p>
    <w:p w14:paraId="508345B3" w14:textId="77777777" w:rsidR="00707644" w:rsidRPr="00772364" w:rsidRDefault="00707644" w:rsidP="002A5663">
      <w:pPr>
        <w:ind w:right="-46"/>
        <w:jc w:val="both"/>
        <w:rPr>
          <w:rFonts w:ascii="Arial" w:hAnsi="Arial" w:cs="Arial"/>
          <w:color w:val="000000" w:themeColor="text1"/>
          <w:sz w:val="22"/>
          <w:szCs w:val="22"/>
        </w:rPr>
      </w:pPr>
    </w:p>
    <w:p w14:paraId="508345B4"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lastRenderedPageBreak/>
        <w:t>A list of the compliance matters is provided overleaf.  However, please note that this list is not definitive, as there may be other related compliance matters which the visit may need to address.</w:t>
      </w:r>
    </w:p>
    <w:p w14:paraId="508345B5" w14:textId="77777777" w:rsidR="00707644" w:rsidRPr="00772364" w:rsidRDefault="00707644" w:rsidP="002A5663">
      <w:pPr>
        <w:ind w:right="-46"/>
        <w:jc w:val="both"/>
        <w:rPr>
          <w:rFonts w:ascii="Arial" w:hAnsi="Arial" w:cs="Arial"/>
          <w:color w:val="000000" w:themeColor="text1"/>
          <w:sz w:val="22"/>
          <w:szCs w:val="22"/>
        </w:rPr>
      </w:pPr>
    </w:p>
    <w:p w14:paraId="508345B7"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How often will your premises be visited?</w:t>
      </w:r>
    </w:p>
    <w:p w14:paraId="508345B8" w14:textId="77777777" w:rsidR="00707644" w:rsidRPr="00772364" w:rsidRDefault="00707644" w:rsidP="002A5663">
      <w:pPr>
        <w:ind w:right="-46"/>
        <w:jc w:val="both"/>
        <w:rPr>
          <w:rFonts w:ascii="Arial" w:hAnsi="Arial" w:cs="Arial"/>
          <w:b/>
          <w:color w:val="000000" w:themeColor="text1"/>
          <w:sz w:val="22"/>
          <w:szCs w:val="22"/>
        </w:rPr>
      </w:pPr>
    </w:p>
    <w:p w14:paraId="508345B9"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The Licensing Authority cannot provide you with a definitive statement of how often your premises will be visited.  However, you can be assured that visits are risk-based.  This means that if your premises is perceived to be ‘low risk’ it will receive fewer visits than those premises perceived to be ‘high risk’.  High risk rated premises may be those where there are factors such as reports of underage gambling or previous breaches of premises licence conditions and codes of practice.  Low risk rated premises will generally be those which have demonstrated compliance with premises licence conditions and codes of practice.</w:t>
      </w:r>
    </w:p>
    <w:p w14:paraId="508345BA" w14:textId="77777777" w:rsidR="00707644" w:rsidRPr="00772364" w:rsidRDefault="00707644" w:rsidP="002A5663">
      <w:pPr>
        <w:ind w:right="-46"/>
        <w:jc w:val="both"/>
        <w:rPr>
          <w:rFonts w:ascii="Arial" w:hAnsi="Arial" w:cs="Arial"/>
          <w:color w:val="000000" w:themeColor="text1"/>
          <w:sz w:val="22"/>
          <w:szCs w:val="22"/>
        </w:rPr>
      </w:pPr>
    </w:p>
    <w:p w14:paraId="508345BB"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Legal powers of Authorised Local Authority Officers to enter your premises</w:t>
      </w:r>
    </w:p>
    <w:p w14:paraId="508345BC" w14:textId="77777777" w:rsidR="00707644" w:rsidRPr="00772364" w:rsidRDefault="00707644" w:rsidP="002A5663">
      <w:pPr>
        <w:ind w:right="-46"/>
        <w:jc w:val="both"/>
        <w:rPr>
          <w:rFonts w:ascii="Arial" w:hAnsi="Arial" w:cs="Arial"/>
          <w:b/>
          <w:color w:val="000000" w:themeColor="text1"/>
          <w:sz w:val="22"/>
          <w:szCs w:val="22"/>
        </w:rPr>
      </w:pPr>
    </w:p>
    <w:p w14:paraId="508345BD" w14:textId="77777777" w:rsidR="00707644" w:rsidRPr="00772364" w:rsidRDefault="00707644" w:rsidP="002A5663">
      <w:pPr>
        <w:numPr>
          <w:ilvl w:val="0"/>
          <w:numId w:val="20"/>
        </w:numPr>
        <w:ind w:right="-46"/>
        <w:jc w:val="both"/>
        <w:rPr>
          <w:rFonts w:ascii="Arial" w:hAnsi="Arial" w:cs="Arial"/>
          <w:i/>
          <w:color w:val="000000" w:themeColor="text1"/>
          <w:sz w:val="22"/>
          <w:szCs w:val="22"/>
        </w:rPr>
      </w:pPr>
      <w:r w:rsidRPr="00772364">
        <w:rPr>
          <w:rFonts w:ascii="Arial" w:hAnsi="Arial" w:cs="Arial"/>
          <w:color w:val="000000" w:themeColor="text1"/>
          <w:sz w:val="22"/>
          <w:szCs w:val="22"/>
        </w:rPr>
        <w:t xml:space="preserve">Authorised Local Authority Officers can inspect your premises for assessing compliance with the terms and conditions of your licences under the </w:t>
      </w:r>
      <w:r w:rsidRPr="00772364">
        <w:rPr>
          <w:rFonts w:ascii="Arial" w:hAnsi="Arial" w:cs="Arial"/>
          <w:i/>
          <w:color w:val="000000" w:themeColor="text1"/>
          <w:sz w:val="22"/>
          <w:szCs w:val="22"/>
        </w:rPr>
        <w:t xml:space="preserve">Gambling Act 2005.  </w:t>
      </w:r>
    </w:p>
    <w:p w14:paraId="508345BE" w14:textId="77777777" w:rsidR="00707644" w:rsidRPr="00772364" w:rsidRDefault="00707644" w:rsidP="002A5663">
      <w:pPr>
        <w:numPr>
          <w:ilvl w:val="0"/>
          <w:numId w:val="20"/>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They can also inspect any part of the premises, any machine or other thing</w:t>
      </w:r>
      <w:r w:rsidRPr="00772364">
        <w:rPr>
          <w:rStyle w:val="CommentReference"/>
          <w:color w:val="000000" w:themeColor="text1"/>
        </w:rPr>
        <w:t xml:space="preserve"> </w:t>
      </w:r>
      <w:r w:rsidRPr="00772364">
        <w:rPr>
          <w:rFonts w:ascii="Arial" w:hAnsi="Arial" w:cs="Arial"/>
          <w:color w:val="000000" w:themeColor="text1"/>
          <w:sz w:val="22"/>
          <w:szCs w:val="22"/>
        </w:rPr>
        <w:t xml:space="preserve">or question any person on the premises.  </w:t>
      </w:r>
    </w:p>
    <w:p w14:paraId="508345BF" w14:textId="77777777" w:rsidR="00707644" w:rsidRPr="00772364" w:rsidRDefault="00707644" w:rsidP="002A5663">
      <w:pPr>
        <w:numPr>
          <w:ilvl w:val="0"/>
          <w:numId w:val="20"/>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They can require access to any written or electronic record which is kept on the premises, or require that a copy is provided.  </w:t>
      </w:r>
    </w:p>
    <w:p w14:paraId="508345C0" w14:textId="77777777" w:rsidR="00707644" w:rsidRPr="00772364" w:rsidRDefault="00707644" w:rsidP="002A5663">
      <w:pPr>
        <w:numPr>
          <w:ilvl w:val="0"/>
          <w:numId w:val="20"/>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The Officer can also remove or retain anything if they reasonably believe that it constitutes or contains evidence of the commission of an offence under the </w:t>
      </w:r>
      <w:r w:rsidRPr="00772364">
        <w:rPr>
          <w:rFonts w:ascii="Arial" w:hAnsi="Arial" w:cs="Arial"/>
          <w:i/>
          <w:color w:val="000000" w:themeColor="text1"/>
          <w:sz w:val="22"/>
          <w:szCs w:val="22"/>
        </w:rPr>
        <w:t>Gambling Act 2005</w:t>
      </w:r>
      <w:r w:rsidRPr="00772364">
        <w:rPr>
          <w:rFonts w:ascii="Arial" w:hAnsi="Arial" w:cs="Arial"/>
          <w:color w:val="000000" w:themeColor="text1"/>
          <w:sz w:val="22"/>
          <w:szCs w:val="22"/>
        </w:rPr>
        <w:t xml:space="preserve">, or a breach of a term or condition of the premises licence.  </w:t>
      </w:r>
    </w:p>
    <w:p w14:paraId="508345C1" w14:textId="77777777" w:rsidR="00707644" w:rsidRPr="00772364" w:rsidRDefault="00707644" w:rsidP="002A5663">
      <w:pPr>
        <w:numPr>
          <w:ilvl w:val="0"/>
          <w:numId w:val="20"/>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Officers may also use reasonable force in order to enter the premises for inspection purposes, should it be necessary.</w:t>
      </w:r>
    </w:p>
    <w:p w14:paraId="508345C2" w14:textId="77777777" w:rsidR="00707644" w:rsidRPr="00772364" w:rsidRDefault="00707644" w:rsidP="002A5663">
      <w:pPr>
        <w:numPr>
          <w:ilvl w:val="0"/>
          <w:numId w:val="20"/>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It should be noted that it is an offence if a person, without reasonable excuse, obstructs or fails to cooperate with an Authorised Local Authority Officer who is exercising powers under Part 15 (‘Inspection’) of the Gambling Act 2005.  </w:t>
      </w:r>
    </w:p>
    <w:p w14:paraId="508345C3" w14:textId="77777777" w:rsidR="00707644" w:rsidRPr="00772364" w:rsidRDefault="00707644" w:rsidP="002A5663">
      <w:pPr>
        <w:numPr>
          <w:ilvl w:val="0"/>
          <w:numId w:val="20"/>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It is also an offence to provide false information without reasonable excuse to the Authorised Local Authority Officer.</w:t>
      </w:r>
    </w:p>
    <w:p w14:paraId="508345C4" w14:textId="77777777" w:rsidR="00707644" w:rsidRPr="00772364" w:rsidRDefault="00707644" w:rsidP="002A5663">
      <w:pPr>
        <w:ind w:right="-46"/>
        <w:jc w:val="both"/>
        <w:rPr>
          <w:rFonts w:ascii="Arial" w:hAnsi="Arial" w:cs="Arial"/>
          <w:color w:val="000000" w:themeColor="text1"/>
          <w:sz w:val="22"/>
          <w:szCs w:val="22"/>
        </w:rPr>
      </w:pPr>
    </w:p>
    <w:p w14:paraId="508345C5"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Identification requirements</w:t>
      </w:r>
    </w:p>
    <w:p w14:paraId="508345C6" w14:textId="77777777" w:rsidR="00707644" w:rsidRPr="00772364" w:rsidRDefault="00707644" w:rsidP="002A5663">
      <w:pPr>
        <w:ind w:right="-46"/>
        <w:jc w:val="both"/>
        <w:rPr>
          <w:rFonts w:ascii="Arial" w:hAnsi="Arial" w:cs="Arial"/>
          <w:b/>
          <w:color w:val="000000" w:themeColor="text1"/>
          <w:sz w:val="22"/>
          <w:szCs w:val="22"/>
        </w:rPr>
      </w:pPr>
    </w:p>
    <w:p w14:paraId="508345C7"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When the Authorised Local Authority Officer visits your premises they will provide proof of their identity (and authority) to a person appearing to be the occupier, or having responsibility for the management of the premises.  Anyone accompanying the Officer will also provide evidence of their identity.  </w:t>
      </w:r>
    </w:p>
    <w:p w14:paraId="508345C8" w14:textId="77777777" w:rsidR="00707644" w:rsidRPr="00772364" w:rsidRDefault="00707644" w:rsidP="002A5663">
      <w:pPr>
        <w:ind w:right="-46"/>
        <w:jc w:val="both"/>
        <w:rPr>
          <w:rFonts w:ascii="Arial" w:hAnsi="Arial" w:cs="Arial"/>
          <w:color w:val="000000" w:themeColor="text1"/>
          <w:sz w:val="22"/>
          <w:szCs w:val="22"/>
        </w:rPr>
      </w:pPr>
    </w:p>
    <w:p w14:paraId="508345C9"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Complaints</w:t>
      </w:r>
    </w:p>
    <w:p w14:paraId="508345CA" w14:textId="77777777" w:rsidR="00707644" w:rsidRPr="00772364" w:rsidRDefault="00707644" w:rsidP="002A5663">
      <w:pPr>
        <w:ind w:right="-46"/>
        <w:jc w:val="both"/>
        <w:rPr>
          <w:rFonts w:ascii="Arial" w:hAnsi="Arial" w:cs="Arial"/>
          <w:b/>
          <w:color w:val="000000" w:themeColor="text1"/>
          <w:sz w:val="22"/>
          <w:szCs w:val="22"/>
        </w:rPr>
      </w:pPr>
    </w:p>
    <w:p w14:paraId="508345CB"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Our Officers will always endeavour to comply to the highest professional standards while visiting your premises; however, if you feel you have a complaint about the inspection of your premises, you should contact the Authorised Local Authority Officer’s manager or Head of Service in the first instance and your complaint will be investigated.  </w:t>
      </w:r>
    </w:p>
    <w:p w14:paraId="508345CC" w14:textId="77777777" w:rsidR="00707644" w:rsidRPr="00772364" w:rsidRDefault="00707644" w:rsidP="002A5663">
      <w:pPr>
        <w:ind w:right="-46"/>
        <w:jc w:val="both"/>
        <w:rPr>
          <w:rFonts w:ascii="Arial" w:hAnsi="Arial" w:cs="Arial"/>
          <w:color w:val="000000" w:themeColor="text1"/>
          <w:sz w:val="22"/>
          <w:szCs w:val="22"/>
        </w:rPr>
      </w:pPr>
    </w:p>
    <w:p w14:paraId="508345CD"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If you are still not satisfied you can use the Local Authority’s formal complaints procedure.  Contact details of the Council are provided below.</w:t>
      </w:r>
    </w:p>
    <w:p w14:paraId="508345CE" w14:textId="77777777" w:rsidR="00707644" w:rsidRPr="00772364" w:rsidRDefault="00707644" w:rsidP="002A5663">
      <w:pPr>
        <w:ind w:right="-46"/>
        <w:jc w:val="both"/>
        <w:rPr>
          <w:rFonts w:ascii="Arial" w:hAnsi="Arial" w:cs="Arial"/>
          <w:color w:val="000000" w:themeColor="text1"/>
          <w:sz w:val="22"/>
          <w:szCs w:val="22"/>
        </w:rPr>
      </w:pPr>
    </w:p>
    <w:p w14:paraId="508345CF"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In cases of maladministration you can also make a complaint to the Local Government Ombudsman (</w:t>
      </w:r>
      <w:hyperlink r:id="rId14" w:history="1">
        <w:r w:rsidRPr="00772364">
          <w:rPr>
            <w:rStyle w:val="Hyperlink"/>
            <w:rFonts w:ascii="Arial" w:hAnsi="Arial" w:cs="Arial"/>
            <w:color w:val="000000" w:themeColor="text1"/>
            <w:sz w:val="22"/>
            <w:szCs w:val="22"/>
          </w:rPr>
          <w:t>http://www.lgo.org.uk/</w:t>
        </w:r>
      </w:hyperlink>
      <w:r w:rsidRPr="00772364">
        <w:rPr>
          <w:rFonts w:ascii="Arial" w:hAnsi="Arial" w:cs="Arial"/>
          <w:color w:val="000000" w:themeColor="text1"/>
          <w:sz w:val="22"/>
          <w:szCs w:val="22"/>
        </w:rPr>
        <w:t xml:space="preserve">).  </w:t>
      </w:r>
    </w:p>
    <w:p w14:paraId="508345D0" w14:textId="77777777" w:rsidR="00707644" w:rsidRPr="00772364" w:rsidRDefault="00707644" w:rsidP="002A5663">
      <w:pPr>
        <w:ind w:right="-46"/>
        <w:jc w:val="both"/>
        <w:rPr>
          <w:rFonts w:ascii="Arial" w:hAnsi="Arial" w:cs="Arial"/>
          <w:color w:val="000000" w:themeColor="text1"/>
          <w:sz w:val="22"/>
          <w:szCs w:val="22"/>
        </w:rPr>
      </w:pPr>
    </w:p>
    <w:p w14:paraId="508345D1" w14:textId="77777777" w:rsidR="00707644" w:rsidRPr="00772364" w:rsidRDefault="00707644" w:rsidP="002A5663">
      <w:pPr>
        <w:ind w:right="-46"/>
        <w:jc w:val="both"/>
        <w:rPr>
          <w:rFonts w:ascii="Arial" w:hAnsi="Arial" w:cs="Arial"/>
          <w:color w:val="000000" w:themeColor="text1"/>
          <w:sz w:val="22"/>
          <w:szCs w:val="22"/>
        </w:rPr>
      </w:pPr>
    </w:p>
    <w:p w14:paraId="508345D2" w14:textId="77777777" w:rsidR="00707644" w:rsidRPr="00772364" w:rsidRDefault="00707644" w:rsidP="002A5663">
      <w:pPr>
        <w:ind w:right="-46"/>
        <w:jc w:val="both"/>
        <w:rPr>
          <w:rFonts w:ascii="Arial" w:hAnsi="Arial" w:cs="Arial"/>
          <w:b/>
          <w:color w:val="000000" w:themeColor="text1"/>
          <w:sz w:val="22"/>
          <w:szCs w:val="22"/>
        </w:rPr>
      </w:pPr>
    </w:p>
    <w:p w14:paraId="508345D3" w14:textId="77777777" w:rsidR="00707644" w:rsidRPr="00772364" w:rsidRDefault="00707644" w:rsidP="002A5663">
      <w:pPr>
        <w:ind w:right="-46"/>
        <w:jc w:val="both"/>
        <w:rPr>
          <w:rFonts w:ascii="Arial" w:hAnsi="Arial" w:cs="Arial"/>
          <w:b/>
          <w:color w:val="000000" w:themeColor="text1"/>
          <w:sz w:val="22"/>
          <w:szCs w:val="22"/>
        </w:rPr>
      </w:pPr>
    </w:p>
    <w:p w14:paraId="508345D4"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Written inspection record provided by the Authorised Local Authority Officer under the Gambling Act 2005 (SI 2007/ 319)</w:t>
      </w:r>
    </w:p>
    <w:p w14:paraId="508345D5" w14:textId="77777777" w:rsidR="00707644" w:rsidRPr="00772364" w:rsidRDefault="00707644" w:rsidP="002A5663">
      <w:pPr>
        <w:ind w:right="-46"/>
        <w:jc w:val="both"/>
        <w:rPr>
          <w:rFonts w:ascii="Arial" w:hAnsi="Arial" w:cs="Arial"/>
          <w:b/>
          <w:color w:val="000000" w:themeColor="text1"/>
          <w:sz w:val="22"/>
          <w:szCs w:val="22"/>
        </w:rPr>
      </w:pPr>
    </w:p>
    <w:p w14:paraId="508345D6"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Any of the following persons may, following the inspection, make a request in writing for a written record of the inspection to be provided:</w:t>
      </w:r>
    </w:p>
    <w:p w14:paraId="508345D7" w14:textId="77777777" w:rsidR="00707644" w:rsidRPr="00772364" w:rsidRDefault="00707644" w:rsidP="002A5663">
      <w:pPr>
        <w:ind w:right="-46"/>
        <w:jc w:val="both"/>
        <w:rPr>
          <w:rFonts w:ascii="Arial" w:hAnsi="Arial" w:cs="Arial"/>
          <w:color w:val="000000" w:themeColor="text1"/>
          <w:sz w:val="22"/>
          <w:szCs w:val="22"/>
        </w:rPr>
      </w:pPr>
    </w:p>
    <w:p w14:paraId="508345D8" w14:textId="77777777" w:rsidR="00707644" w:rsidRPr="00772364" w:rsidRDefault="00707644" w:rsidP="002A5663">
      <w:pPr>
        <w:numPr>
          <w:ilvl w:val="0"/>
          <w:numId w:val="21"/>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Gambling Commission</w:t>
      </w:r>
    </w:p>
    <w:p w14:paraId="508345D9" w14:textId="77777777" w:rsidR="00707644" w:rsidRPr="00772364" w:rsidRDefault="00707644" w:rsidP="002A5663">
      <w:pPr>
        <w:numPr>
          <w:ilvl w:val="0"/>
          <w:numId w:val="21"/>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Person present at the time of the inspection and who appears to the Authorised Local Authority Officer to be responsible for the management of the premises, or occupies the premises</w:t>
      </w:r>
    </w:p>
    <w:p w14:paraId="508345DA" w14:textId="77777777" w:rsidR="00707644" w:rsidRPr="00772364" w:rsidRDefault="00707644" w:rsidP="002A5663">
      <w:pPr>
        <w:numPr>
          <w:ilvl w:val="0"/>
          <w:numId w:val="21"/>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The premises licence holder</w:t>
      </w:r>
    </w:p>
    <w:p w14:paraId="508345DB" w14:textId="77777777" w:rsidR="00707644" w:rsidRPr="00772364" w:rsidRDefault="00707644" w:rsidP="002A5663">
      <w:pPr>
        <w:numPr>
          <w:ilvl w:val="0"/>
          <w:numId w:val="21"/>
        </w:numPr>
        <w:ind w:right="-46"/>
        <w:jc w:val="both"/>
        <w:rPr>
          <w:rFonts w:ascii="Arial" w:hAnsi="Arial" w:cs="Arial"/>
          <w:color w:val="000000" w:themeColor="text1"/>
          <w:sz w:val="22"/>
          <w:szCs w:val="22"/>
        </w:rPr>
      </w:pPr>
      <w:r w:rsidRPr="00772364">
        <w:rPr>
          <w:rFonts w:ascii="Arial" w:hAnsi="Arial" w:cs="Arial"/>
          <w:color w:val="000000" w:themeColor="text1"/>
          <w:sz w:val="22"/>
          <w:szCs w:val="22"/>
        </w:rPr>
        <w:t>Person who occupies the premises or is responsible for their management at the time of the inspection</w:t>
      </w:r>
    </w:p>
    <w:p w14:paraId="508345DC" w14:textId="77777777" w:rsidR="00707644" w:rsidRPr="00772364" w:rsidRDefault="00707644" w:rsidP="002A5663">
      <w:pPr>
        <w:ind w:right="-46"/>
        <w:jc w:val="both"/>
        <w:rPr>
          <w:rFonts w:ascii="Arial" w:hAnsi="Arial" w:cs="Arial"/>
          <w:color w:val="000000" w:themeColor="text1"/>
          <w:sz w:val="22"/>
          <w:szCs w:val="22"/>
        </w:rPr>
      </w:pPr>
    </w:p>
    <w:p w14:paraId="508345DD"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The request can be made by sending a written request to the following postal or email address:</w:t>
      </w:r>
    </w:p>
    <w:p w14:paraId="508345E2" w14:textId="550F2C6F" w:rsidR="00707644" w:rsidRPr="00772364" w:rsidRDefault="00225F7A" w:rsidP="002A5663">
      <w:pPr>
        <w:ind w:right="-46"/>
        <w:jc w:val="both"/>
        <w:rPr>
          <w:rFonts w:ascii="Arial" w:hAnsi="Arial" w:cs="Arial"/>
          <w:color w:val="000000" w:themeColor="text1"/>
          <w:sz w:val="22"/>
          <w:szCs w:val="22"/>
        </w:rPr>
      </w:pPr>
      <w:r>
        <w:rPr>
          <w:noProof/>
        </w:rPr>
        <mc:AlternateContent>
          <mc:Choice Requires="wps">
            <w:drawing>
              <wp:anchor distT="45720" distB="45720" distL="114300" distR="114300" simplePos="0" relativeHeight="251659264" behindDoc="0" locked="0" layoutInCell="1" allowOverlap="1" wp14:anchorId="7B72E93B" wp14:editId="0AB82279">
                <wp:simplePos x="0" y="0"/>
                <wp:positionH relativeFrom="column">
                  <wp:posOffset>-21590</wp:posOffset>
                </wp:positionH>
                <wp:positionV relativeFrom="paragraph">
                  <wp:posOffset>84455</wp:posOffset>
                </wp:positionV>
                <wp:extent cx="5781675" cy="626745"/>
                <wp:effectExtent l="0" t="0" r="9525"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6745"/>
                        </a:xfrm>
                        <a:prstGeom prst="rect">
                          <a:avLst/>
                        </a:prstGeom>
                        <a:solidFill>
                          <a:srgbClr val="FFFFFF"/>
                        </a:solidFill>
                        <a:ln w="9525">
                          <a:solidFill>
                            <a:srgbClr val="000000"/>
                          </a:solidFill>
                          <a:miter lim="800000"/>
                          <a:headEnd/>
                          <a:tailEnd/>
                        </a:ln>
                      </wps:spPr>
                      <wps:txbx>
                        <w:txbxContent>
                          <w:p w14:paraId="0258FC5F" w14:textId="77777777" w:rsidR="00E457A8" w:rsidRPr="00E12DCB" w:rsidRDefault="00E457A8" w:rsidP="00E457A8">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2AD6855B" w14:textId="77777777" w:rsidR="00E457A8" w:rsidRPr="00E12DCB" w:rsidRDefault="00E457A8" w:rsidP="00E457A8">
                            <w:pPr>
                              <w:jc w:val="center"/>
                              <w:rPr>
                                <w:rFonts w:ascii="Arial" w:hAnsi="Arial" w:cs="Arial"/>
                                <w:color w:val="FF0000"/>
                              </w:rPr>
                            </w:pPr>
                            <w:r w:rsidRPr="00E12DCB">
                              <w:rPr>
                                <w:rFonts w:ascii="Arial" w:hAnsi="Arial" w:cs="Arial"/>
                                <w:color w:val="FF0000"/>
                              </w:rPr>
                              <w:t>X Council address</w:t>
                            </w:r>
                          </w:p>
                          <w:p w14:paraId="02C6BA6C" w14:textId="77777777" w:rsidR="00E457A8" w:rsidRPr="00E12DCB" w:rsidRDefault="004C100A" w:rsidP="00E457A8">
                            <w:pPr>
                              <w:jc w:val="center"/>
                              <w:rPr>
                                <w:rFonts w:ascii="Arial" w:hAnsi="Arial" w:cs="Arial"/>
                              </w:rPr>
                            </w:pPr>
                            <w:hyperlink r:id="rId15" w:history="1">
                              <w:r w:rsidR="00E457A8" w:rsidRPr="00E12DCB">
                                <w:rPr>
                                  <w:rStyle w:val="Hyperlink"/>
                                  <w:rFonts w:ascii="Arial" w:hAnsi="Arial" w:cs="Arial"/>
                                </w:rPr>
                                <w:t>licensing@xcouncil.gov.uk</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72E93B" id="_x0000_t202" coordsize="21600,21600" o:spt="202" path="m,l,21600r21600,l21600,xe">
                <v:stroke joinstyle="miter"/>
                <v:path gradientshapeok="t" o:connecttype="rect"/>
              </v:shapetype>
              <v:shape id="Text Box 2" o:spid="_x0000_s1026" type="#_x0000_t202" style="position:absolute;left:0;text-align:left;margin-left:-1.7pt;margin-top:6.65pt;width:455.25pt;height:49.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">
                <v:textbox style="mso-fit-shape-to-text:t">
                  <w:txbxContent>
                    <w:p w14:paraId="0258FC5F" w14:textId="77777777" w:rsidR="00E457A8" w:rsidRPr="00E12DCB" w:rsidRDefault="00E457A8" w:rsidP="00E457A8">
                      <w:pPr>
                        <w:jc w:val="center"/>
                        <w:rPr>
                          <w:rFonts w:ascii="Arial" w:hAnsi="Arial" w:cs="Arial"/>
                          <w:color w:val="FF0000"/>
                        </w:rPr>
                      </w:pPr>
                      <w:r w:rsidRPr="00E12DCB">
                        <w:rPr>
                          <w:rFonts w:ascii="Arial" w:hAnsi="Arial" w:cs="Arial"/>
                          <w:color w:val="FF0000"/>
                        </w:rPr>
                        <w:t>**Please amend</w:t>
                      </w:r>
                      <w:r>
                        <w:rPr>
                          <w:rFonts w:ascii="Arial" w:hAnsi="Arial" w:cs="Arial"/>
                          <w:color w:val="FF0000"/>
                        </w:rPr>
                        <w:t xml:space="preserve"> before issuing</w:t>
                      </w:r>
                      <w:r w:rsidRPr="00E12DCB">
                        <w:rPr>
                          <w:rFonts w:ascii="Arial" w:hAnsi="Arial" w:cs="Arial"/>
                          <w:color w:val="FF0000"/>
                        </w:rPr>
                        <w:t>**</w:t>
                      </w:r>
                    </w:p>
                    <w:p w14:paraId="2AD6855B" w14:textId="77777777" w:rsidR="00E457A8" w:rsidRPr="00E12DCB" w:rsidRDefault="00E457A8" w:rsidP="00E457A8">
                      <w:pPr>
                        <w:jc w:val="center"/>
                        <w:rPr>
                          <w:rFonts w:ascii="Arial" w:hAnsi="Arial" w:cs="Arial"/>
                          <w:color w:val="FF0000"/>
                        </w:rPr>
                      </w:pPr>
                      <w:r w:rsidRPr="00E12DCB">
                        <w:rPr>
                          <w:rFonts w:ascii="Arial" w:hAnsi="Arial" w:cs="Arial"/>
                          <w:color w:val="FF0000"/>
                        </w:rPr>
                        <w:t>X Council address</w:t>
                      </w:r>
                    </w:p>
                    <w:p w14:paraId="02C6BA6C" w14:textId="77777777" w:rsidR="00E457A8" w:rsidRPr="00E12DCB" w:rsidRDefault="004C100A" w:rsidP="00E457A8">
                      <w:pPr>
                        <w:jc w:val="center"/>
                        <w:rPr>
                          <w:rFonts w:ascii="Arial" w:hAnsi="Arial" w:cs="Arial"/>
                        </w:rPr>
                      </w:pPr>
                      <w:hyperlink r:id="rId16" w:history="1">
                        <w:r w:rsidR="00E457A8" w:rsidRPr="00E12DCB">
                          <w:rPr>
                            <w:rStyle w:val="Hyperlink"/>
                            <w:rFonts w:ascii="Arial" w:hAnsi="Arial" w:cs="Arial"/>
                          </w:rPr>
                          <w:t>licensing@xcouncil.gov.uk</w:t>
                        </w:r>
                      </w:hyperlink>
                    </w:p>
                  </w:txbxContent>
                </v:textbox>
                <w10:wrap type="square"/>
              </v:shape>
            </w:pict>
          </mc:Fallback>
        </mc:AlternateContent>
      </w:r>
    </w:p>
    <w:p w14:paraId="508345E3"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Date and time of the inspection………………………………………………………………………</w:t>
      </w:r>
    </w:p>
    <w:p w14:paraId="508345E4" w14:textId="77777777" w:rsidR="00707644" w:rsidRPr="00772364" w:rsidRDefault="00707644" w:rsidP="002A5663">
      <w:pPr>
        <w:ind w:right="-46"/>
        <w:jc w:val="both"/>
        <w:rPr>
          <w:rFonts w:ascii="Arial" w:hAnsi="Arial" w:cs="Arial"/>
          <w:color w:val="000000" w:themeColor="text1"/>
          <w:sz w:val="22"/>
          <w:szCs w:val="22"/>
        </w:rPr>
      </w:pPr>
    </w:p>
    <w:p w14:paraId="508345E5"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Person to whom this statement was provided………………………………………………………</w:t>
      </w:r>
    </w:p>
    <w:p w14:paraId="508345E6" w14:textId="77777777" w:rsidR="00707644" w:rsidRPr="00772364" w:rsidRDefault="00707644" w:rsidP="002A5663">
      <w:pPr>
        <w:ind w:right="-46"/>
        <w:jc w:val="both"/>
        <w:rPr>
          <w:rFonts w:ascii="Arial" w:hAnsi="Arial" w:cs="Arial"/>
          <w:color w:val="000000" w:themeColor="text1"/>
          <w:sz w:val="22"/>
          <w:szCs w:val="22"/>
        </w:rPr>
      </w:pPr>
    </w:p>
    <w:p w14:paraId="508345E7"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Authorised Local Authority Officer …………………………………………………………………...</w:t>
      </w:r>
    </w:p>
    <w:p w14:paraId="508345E8" w14:textId="77777777" w:rsidR="00707644" w:rsidRPr="00772364" w:rsidRDefault="00707644" w:rsidP="002A5663">
      <w:pPr>
        <w:ind w:right="-46"/>
        <w:jc w:val="both"/>
        <w:rPr>
          <w:rFonts w:ascii="Arial" w:hAnsi="Arial" w:cs="Arial"/>
          <w:color w:val="000000" w:themeColor="text1"/>
          <w:sz w:val="22"/>
          <w:szCs w:val="22"/>
        </w:rPr>
      </w:pPr>
    </w:p>
    <w:p w14:paraId="508345E9"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Signature of Authorised Local Authority Officer…………………………………………………….</w:t>
      </w:r>
    </w:p>
    <w:p w14:paraId="508345EA" w14:textId="77777777" w:rsidR="00707644" w:rsidRPr="00772364" w:rsidRDefault="00707644" w:rsidP="002A5663">
      <w:pPr>
        <w:ind w:right="-46"/>
        <w:jc w:val="both"/>
        <w:rPr>
          <w:rFonts w:ascii="Arial" w:hAnsi="Arial" w:cs="Arial"/>
          <w:color w:val="000000" w:themeColor="text1"/>
          <w:sz w:val="22"/>
          <w:szCs w:val="22"/>
        </w:rPr>
      </w:pPr>
    </w:p>
    <w:p w14:paraId="508345EB" w14:textId="77777777" w:rsidR="00707644" w:rsidRPr="00772364" w:rsidRDefault="00707644" w:rsidP="002A5663">
      <w:pPr>
        <w:ind w:right="-46"/>
        <w:jc w:val="both"/>
        <w:rPr>
          <w:rFonts w:ascii="Arial" w:hAnsi="Arial" w:cs="Arial"/>
          <w:b/>
          <w:color w:val="000000" w:themeColor="text1"/>
          <w:sz w:val="22"/>
          <w:szCs w:val="22"/>
        </w:rPr>
      </w:pPr>
    </w:p>
    <w:p w14:paraId="508345EC"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Outcome of the inspection</w:t>
      </w:r>
    </w:p>
    <w:p w14:paraId="508345ED" w14:textId="77777777" w:rsidR="00707644" w:rsidRPr="00772364" w:rsidRDefault="00707644" w:rsidP="002A5663">
      <w:pPr>
        <w:ind w:right="-46"/>
        <w:jc w:val="both"/>
        <w:rPr>
          <w:rFonts w:ascii="Arial" w:hAnsi="Arial" w:cs="Arial"/>
          <w:color w:val="000000" w:themeColor="text1"/>
          <w:sz w:val="22"/>
          <w:szCs w:val="22"/>
        </w:rPr>
      </w:pPr>
    </w:p>
    <w:p w14:paraId="508345EE"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A letter will be sent in due course outlining the inspection findings and remedial action (if any) required.</w:t>
      </w:r>
    </w:p>
    <w:p w14:paraId="508345EF" w14:textId="77777777" w:rsidR="00707644" w:rsidRPr="00772364" w:rsidRDefault="00707644" w:rsidP="002A5663">
      <w:pPr>
        <w:ind w:right="-46"/>
        <w:jc w:val="both"/>
        <w:rPr>
          <w:rFonts w:ascii="Arial" w:hAnsi="Arial" w:cs="Arial"/>
          <w:color w:val="000000" w:themeColor="text1"/>
          <w:sz w:val="22"/>
          <w:szCs w:val="22"/>
        </w:rPr>
      </w:pPr>
    </w:p>
    <w:p w14:paraId="508345F0" w14:textId="77777777" w:rsidR="00707644"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Based on the scope of the inspection, and evidence reviewed at the time, no remedial action is required.</w:t>
      </w:r>
    </w:p>
    <w:p w14:paraId="508345F1" w14:textId="77777777" w:rsidR="00707644" w:rsidRPr="00772364" w:rsidRDefault="00707644" w:rsidP="002A5663">
      <w:pPr>
        <w:tabs>
          <w:tab w:val="left" w:pos="3735"/>
        </w:tabs>
        <w:ind w:right="-46"/>
        <w:jc w:val="both"/>
        <w:rPr>
          <w:rFonts w:ascii="Arial" w:hAnsi="Arial" w:cs="Arial"/>
          <w:color w:val="000000" w:themeColor="text1"/>
          <w:sz w:val="22"/>
          <w:szCs w:val="22"/>
        </w:rPr>
      </w:pPr>
      <w:r w:rsidRPr="00772364">
        <w:rPr>
          <w:rFonts w:ascii="Arial" w:hAnsi="Arial" w:cs="Arial"/>
          <w:color w:val="000000" w:themeColor="text1"/>
          <w:sz w:val="22"/>
          <w:szCs w:val="22"/>
        </w:rPr>
        <w:tab/>
      </w:r>
    </w:p>
    <w:p w14:paraId="508345F2" w14:textId="77777777" w:rsidR="00707644" w:rsidRPr="00772364" w:rsidRDefault="00707644" w:rsidP="002A5663">
      <w:pPr>
        <w:ind w:right="-46"/>
        <w:jc w:val="both"/>
        <w:rPr>
          <w:rFonts w:ascii="Arial" w:hAnsi="Arial" w:cs="Arial"/>
          <w:b/>
          <w:color w:val="000000" w:themeColor="text1"/>
          <w:sz w:val="22"/>
          <w:szCs w:val="22"/>
        </w:rPr>
      </w:pPr>
    </w:p>
    <w:p w14:paraId="508345F3" w14:textId="77777777" w:rsidR="00707644" w:rsidRPr="00772364" w:rsidRDefault="00707644" w:rsidP="002A5663">
      <w:pPr>
        <w:ind w:right="-46"/>
        <w:jc w:val="both"/>
        <w:rPr>
          <w:rFonts w:ascii="Arial" w:hAnsi="Arial" w:cs="Arial"/>
          <w:b/>
          <w:color w:val="000000" w:themeColor="text1"/>
          <w:sz w:val="22"/>
          <w:szCs w:val="22"/>
        </w:rPr>
      </w:pPr>
      <w:r w:rsidRPr="00772364">
        <w:rPr>
          <w:rFonts w:ascii="Arial" w:hAnsi="Arial" w:cs="Arial"/>
          <w:b/>
          <w:color w:val="000000" w:themeColor="text1"/>
          <w:sz w:val="22"/>
          <w:szCs w:val="22"/>
        </w:rPr>
        <w:t>Further information</w:t>
      </w:r>
    </w:p>
    <w:p w14:paraId="508345F4" w14:textId="77777777" w:rsidR="00707644" w:rsidRPr="00772364" w:rsidRDefault="00707644" w:rsidP="002A5663">
      <w:pPr>
        <w:ind w:right="-46"/>
        <w:jc w:val="both"/>
        <w:rPr>
          <w:rFonts w:ascii="Arial" w:hAnsi="Arial" w:cs="Arial"/>
          <w:color w:val="000000" w:themeColor="text1"/>
          <w:sz w:val="22"/>
          <w:szCs w:val="22"/>
        </w:rPr>
      </w:pPr>
    </w:p>
    <w:p w14:paraId="508345F5" w14:textId="36AF49AA" w:rsidR="00BC390E" w:rsidRPr="00772364" w:rsidRDefault="00707644" w:rsidP="002A5663">
      <w:pPr>
        <w:ind w:right="-46"/>
        <w:jc w:val="both"/>
        <w:rPr>
          <w:rFonts w:ascii="Arial" w:hAnsi="Arial" w:cs="Arial"/>
          <w:color w:val="000000" w:themeColor="text1"/>
          <w:sz w:val="22"/>
          <w:szCs w:val="22"/>
        </w:rPr>
      </w:pPr>
      <w:r w:rsidRPr="00772364">
        <w:rPr>
          <w:rFonts w:ascii="Arial" w:hAnsi="Arial" w:cs="Arial"/>
          <w:color w:val="000000" w:themeColor="text1"/>
          <w:sz w:val="22"/>
          <w:szCs w:val="22"/>
        </w:rPr>
        <w:t xml:space="preserve">Gambling Commission website: </w:t>
      </w:r>
      <w:hyperlink r:id="rId17" w:history="1">
        <w:r w:rsidR="00E457A8" w:rsidRPr="001C212F">
          <w:rPr>
            <w:rStyle w:val="Hyperlink"/>
            <w:rFonts w:ascii="Arial" w:hAnsi="Arial" w:cs="Arial"/>
            <w:sz w:val="22"/>
            <w:szCs w:val="22"/>
          </w:rPr>
          <w:t>www.gamblingcommission.gov.uk</w:t>
        </w:r>
      </w:hyperlink>
    </w:p>
    <w:p w14:paraId="508345F6" w14:textId="77777777" w:rsidR="00BC390E" w:rsidRPr="00772364" w:rsidRDefault="00BC390E" w:rsidP="00E16870">
      <w:pPr>
        <w:ind w:right="-46"/>
        <w:rPr>
          <w:rFonts w:ascii="Arial" w:hAnsi="Arial" w:cs="Arial"/>
          <w:color w:val="000000" w:themeColor="text1"/>
          <w:sz w:val="22"/>
          <w:szCs w:val="22"/>
        </w:rPr>
      </w:pPr>
    </w:p>
    <w:p w14:paraId="508345F7" w14:textId="77777777" w:rsidR="008D7A96" w:rsidRPr="00772364" w:rsidRDefault="008D7A96" w:rsidP="00E16870">
      <w:pPr>
        <w:ind w:right="-46"/>
        <w:rPr>
          <w:rFonts w:ascii="Arial" w:hAnsi="Arial" w:cs="Arial"/>
          <w:b/>
          <w:color w:val="000000" w:themeColor="text1"/>
          <w:sz w:val="22"/>
          <w:szCs w:val="22"/>
        </w:rPr>
      </w:pPr>
    </w:p>
    <w:p w14:paraId="508345F8" w14:textId="77777777" w:rsidR="008D7A96" w:rsidRPr="00772364" w:rsidRDefault="008D7A96" w:rsidP="00E16870">
      <w:pPr>
        <w:ind w:right="-46"/>
        <w:rPr>
          <w:rFonts w:ascii="Arial" w:hAnsi="Arial" w:cs="Arial"/>
          <w:b/>
          <w:color w:val="000000" w:themeColor="text1"/>
          <w:sz w:val="22"/>
          <w:szCs w:val="22"/>
        </w:rPr>
      </w:pPr>
      <w:r w:rsidRPr="00772364">
        <w:rPr>
          <w:rFonts w:ascii="Arial" w:hAnsi="Arial" w:cs="Arial"/>
          <w:b/>
          <w:color w:val="000000" w:themeColor="text1"/>
          <w:sz w:val="22"/>
          <w:szCs w:val="22"/>
        </w:rPr>
        <w:br w:type="page"/>
      </w:r>
    </w:p>
    <w:p w14:paraId="508345F9" w14:textId="77777777" w:rsidR="008D7A96" w:rsidRPr="00772364" w:rsidRDefault="008D7A96" w:rsidP="00E457A8">
      <w:pPr>
        <w:ind w:left="-709" w:right="-46"/>
        <w:rPr>
          <w:rFonts w:ascii="Arial" w:hAnsi="Arial" w:cs="Arial"/>
          <w:b/>
          <w:color w:val="000000" w:themeColor="text1"/>
          <w:sz w:val="22"/>
          <w:szCs w:val="22"/>
        </w:rPr>
      </w:pPr>
      <w:r w:rsidRPr="00772364">
        <w:rPr>
          <w:rFonts w:ascii="Arial" w:hAnsi="Arial" w:cs="Arial"/>
          <w:b/>
          <w:color w:val="000000" w:themeColor="text1"/>
          <w:sz w:val="22"/>
          <w:szCs w:val="22"/>
        </w:rPr>
        <w:lastRenderedPageBreak/>
        <w:t>Compliance matters which the visit may address</w:t>
      </w:r>
    </w:p>
    <w:p w14:paraId="508345FA" w14:textId="77777777" w:rsidR="008D7A96" w:rsidRPr="00772364" w:rsidRDefault="008D7A96" w:rsidP="008D7A96">
      <w:pPr>
        <w:ind w:right="-46"/>
        <w:rPr>
          <w:rFonts w:ascii="Arial" w:hAnsi="Arial" w:cs="Arial"/>
          <w:color w:val="000000" w:themeColor="text1"/>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772364" w:rsidRPr="00772364" w14:paraId="508345FC" w14:textId="77777777" w:rsidTr="008D7A96">
        <w:trPr>
          <w:jc w:val="center"/>
        </w:trPr>
        <w:tc>
          <w:tcPr>
            <w:tcW w:w="10490" w:type="dxa"/>
            <w:shd w:val="clear" w:color="auto" w:fill="D9D9D9"/>
            <w:vAlign w:val="center"/>
          </w:tcPr>
          <w:p w14:paraId="508345FB" w14:textId="77777777" w:rsidR="008D7A96" w:rsidRPr="00772364" w:rsidRDefault="008D7A96" w:rsidP="007709A2">
            <w:pPr>
              <w:rPr>
                <w:rFonts w:ascii="Arial" w:hAnsi="Arial" w:cs="Arial"/>
                <w:b/>
                <w:color w:val="000000" w:themeColor="text1"/>
                <w:sz w:val="22"/>
                <w:szCs w:val="22"/>
              </w:rPr>
            </w:pPr>
            <w:r w:rsidRPr="00772364">
              <w:rPr>
                <w:rFonts w:ascii="Arial" w:hAnsi="Arial" w:cs="Arial"/>
                <w:b/>
                <w:color w:val="000000" w:themeColor="text1"/>
                <w:sz w:val="22"/>
                <w:szCs w:val="22"/>
              </w:rPr>
              <w:t>Premises licence condition</w:t>
            </w:r>
          </w:p>
        </w:tc>
      </w:tr>
      <w:tr w:rsidR="00772364" w:rsidRPr="00772364" w14:paraId="508345FE" w14:textId="77777777" w:rsidTr="00746613">
        <w:trPr>
          <w:jc w:val="center"/>
        </w:trPr>
        <w:tc>
          <w:tcPr>
            <w:tcW w:w="10490" w:type="dxa"/>
          </w:tcPr>
          <w:p w14:paraId="508345FD" w14:textId="03D712C9" w:rsidR="008D7A96" w:rsidRPr="00772364" w:rsidRDefault="008D7A96" w:rsidP="00746613">
            <w:pPr>
              <w:rPr>
                <w:rFonts w:ascii="Arial" w:hAnsi="Arial" w:cs="Arial"/>
                <w:color w:val="000000" w:themeColor="text1"/>
                <w:sz w:val="22"/>
                <w:szCs w:val="22"/>
              </w:rPr>
            </w:pPr>
            <w:r w:rsidRPr="00772364">
              <w:rPr>
                <w:rFonts w:ascii="Arial" w:hAnsi="Arial" w:cs="Arial"/>
                <w:color w:val="000000" w:themeColor="text1"/>
                <w:sz w:val="22"/>
                <w:szCs w:val="22"/>
              </w:rPr>
              <w:t>Summary of the premises licence shall be displayed in a prominent place within the premises</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00" w14:textId="77777777" w:rsidTr="00746613">
        <w:trPr>
          <w:jc w:val="center"/>
        </w:trPr>
        <w:tc>
          <w:tcPr>
            <w:tcW w:w="10490" w:type="dxa"/>
            <w:vAlign w:val="center"/>
          </w:tcPr>
          <w:p w14:paraId="508345FF" w14:textId="66EC4D3A"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The layout of the premises shall be maintained in accordance with the plan</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02" w14:textId="77777777" w:rsidTr="00746613">
        <w:trPr>
          <w:jc w:val="center"/>
        </w:trPr>
        <w:tc>
          <w:tcPr>
            <w:tcW w:w="10490" w:type="dxa"/>
            <w:vAlign w:val="center"/>
          </w:tcPr>
          <w:p w14:paraId="50834601" w14:textId="18E8AEDE"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The premises shall not be used for the sale of tickets in a private lottery or the sale of tickets in any other lottery (the National Lottery) in respect of which the sale of tickets on the premises is otherwise prohibited</w:t>
            </w:r>
            <w:r w:rsidR="005B7A65">
              <w:rPr>
                <w:rFonts w:ascii="Arial" w:hAnsi="Arial" w:cs="Arial"/>
                <w:color w:val="000000" w:themeColor="text1"/>
                <w:sz w:val="22"/>
                <w:szCs w:val="22"/>
              </w:rPr>
              <w:t xml:space="preserve">. In England and </w:t>
            </w:r>
            <w:r w:rsidR="002A5663">
              <w:rPr>
                <w:rFonts w:ascii="Arial" w:hAnsi="Arial" w:cs="Arial"/>
                <w:color w:val="000000" w:themeColor="text1"/>
                <w:sz w:val="22"/>
                <w:szCs w:val="22"/>
              </w:rPr>
              <w:t>Wales,</w:t>
            </w:r>
            <w:r w:rsidR="005B7A65">
              <w:rPr>
                <w:rFonts w:ascii="Arial" w:hAnsi="Arial" w:cs="Arial"/>
                <w:color w:val="000000" w:themeColor="text1"/>
                <w:sz w:val="22"/>
                <w:szCs w:val="22"/>
              </w:rPr>
              <w:t xml:space="preserve"> the sale of customer lottery tickets is also prohibited.</w:t>
            </w:r>
            <w:r w:rsidRPr="00772364">
              <w:rPr>
                <w:rFonts w:ascii="Arial" w:hAnsi="Arial" w:cs="Arial"/>
                <w:color w:val="000000" w:themeColor="text1"/>
                <w:sz w:val="22"/>
                <w:szCs w:val="22"/>
              </w:rPr>
              <w:t xml:space="preserve"> (mandatory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08" w14:textId="77777777" w:rsidTr="00746613">
        <w:trPr>
          <w:jc w:val="center"/>
        </w:trPr>
        <w:tc>
          <w:tcPr>
            <w:tcW w:w="10490" w:type="dxa"/>
            <w:vAlign w:val="center"/>
          </w:tcPr>
          <w:p w14:paraId="50834603" w14:textId="77777777"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 xml:space="preserve">No customer shall be able to access the premises directly from a premises where there is: </w:t>
            </w:r>
          </w:p>
          <w:p w14:paraId="50834604" w14:textId="77777777" w:rsidR="008D7A96" w:rsidRPr="00772364" w:rsidRDefault="008D7A96" w:rsidP="00746613">
            <w:pPr>
              <w:numPr>
                <w:ilvl w:val="0"/>
                <w:numId w:val="16"/>
              </w:numPr>
              <w:jc w:val="both"/>
              <w:rPr>
                <w:rFonts w:ascii="Arial" w:hAnsi="Arial" w:cs="Arial"/>
                <w:color w:val="000000" w:themeColor="text1"/>
                <w:sz w:val="22"/>
                <w:szCs w:val="22"/>
              </w:rPr>
            </w:pPr>
            <w:r w:rsidRPr="00772364">
              <w:rPr>
                <w:rFonts w:ascii="Arial" w:hAnsi="Arial" w:cs="Arial"/>
                <w:color w:val="000000" w:themeColor="text1"/>
                <w:sz w:val="22"/>
                <w:szCs w:val="22"/>
              </w:rPr>
              <w:t>a casino premises licence</w:t>
            </w:r>
          </w:p>
          <w:p w14:paraId="50834605" w14:textId="77777777" w:rsidR="008D7A96" w:rsidRPr="00772364" w:rsidRDefault="008D7A96" w:rsidP="00746613">
            <w:pPr>
              <w:numPr>
                <w:ilvl w:val="0"/>
                <w:numId w:val="16"/>
              </w:numPr>
              <w:jc w:val="both"/>
              <w:rPr>
                <w:rFonts w:ascii="Arial" w:hAnsi="Arial" w:cs="Arial"/>
                <w:color w:val="000000" w:themeColor="text1"/>
                <w:sz w:val="22"/>
                <w:szCs w:val="22"/>
              </w:rPr>
            </w:pPr>
            <w:r w:rsidRPr="00772364">
              <w:rPr>
                <w:rFonts w:ascii="Arial" w:hAnsi="Arial" w:cs="Arial"/>
                <w:color w:val="000000" w:themeColor="text1"/>
                <w:sz w:val="22"/>
                <w:szCs w:val="22"/>
              </w:rPr>
              <w:t>an adult gaming centre premises licences</w:t>
            </w:r>
          </w:p>
          <w:p w14:paraId="50834606" w14:textId="4198E617" w:rsidR="008D7A96" w:rsidRPr="00772364" w:rsidRDefault="008D7A96" w:rsidP="00746613">
            <w:pPr>
              <w:numPr>
                <w:ilvl w:val="0"/>
                <w:numId w:val="16"/>
              </w:numPr>
              <w:jc w:val="both"/>
              <w:rPr>
                <w:rFonts w:ascii="Arial" w:hAnsi="Arial" w:cs="Arial"/>
                <w:color w:val="000000" w:themeColor="text1"/>
                <w:sz w:val="22"/>
                <w:szCs w:val="22"/>
              </w:rPr>
            </w:pPr>
            <w:r w:rsidRPr="00772364">
              <w:rPr>
                <w:rFonts w:ascii="Arial" w:hAnsi="Arial" w:cs="Arial"/>
                <w:color w:val="000000" w:themeColor="text1"/>
                <w:sz w:val="22"/>
                <w:szCs w:val="22"/>
              </w:rPr>
              <w:t>a betting premises licence (other than a track premises licence)</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w:t>
            </w:r>
          </w:p>
          <w:p w14:paraId="50834607" w14:textId="5E501740"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0A" w14:textId="77777777" w:rsidTr="00746613">
        <w:trPr>
          <w:jc w:val="center"/>
        </w:trPr>
        <w:tc>
          <w:tcPr>
            <w:tcW w:w="10490" w:type="dxa"/>
            <w:vAlign w:val="center"/>
          </w:tcPr>
          <w:p w14:paraId="50834609" w14:textId="57144DFE"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Any ATM made available for use on the premises shall be located in a place that requires any customer who wishes to use it to cease gambling at any gaming machine in order to do so</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10" w14:textId="77777777" w:rsidTr="00746613">
        <w:trPr>
          <w:jc w:val="center"/>
        </w:trPr>
        <w:tc>
          <w:tcPr>
            <w:tcW w:w="10490" w:type="dxa"/>
            <w:vAlign w:val="center"/>
          </w:tcPr>
          <w:p w14:paraId="5083460B" w14:textId="77777777"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Where category C gaming machines are made available for use on the premises, then the gaming machines must be:</w:t>
            </w:r>
          </w:p>
          <w:p w14:paraId="5083460C" w14:textId="77777777" w:rsidR="008D7A96" w:rsidRPr="00772364" w:rsidRDefault="008D7A96" w:rsidP="00746613">
            <w:pPr>
              <w:numPr>
                <w:ilvl w:val="0"/>
                <w:numId w:val="17"/>
              </w:numPr>
              <w:jc w:val="both"/>
              <w:rPr>
                <w:rFonts w:ascii="Arial" w:hAnsi="Arial" w:cs="Arial"/>
                <w:color w:val="000000" w:themeColor="text1"/>
                <w:sz w:val="22"/>
                <w:szCs w:val="22"/>
              </w:rPr>
            </w:pPr>
            <w:r w:rsidRPr="00772364">
              <w:rPr>
                <w:rFonts w:ascii="Arial" w:hAnsi="Arial" w:cs="Arial"/>
                <w:color w:val="000000" w:themeColor="text1"/>
                <w:sz w:val="22"/>
                <w:szCs w:val="22"/>
              </w:rPr>
              <w:t>separated from the rest of the premises by a physical barrier to prevent access other than via an entrance designed to be the entrance</w:t>
            </w:r>
          </w:p>
          <w:p w14:paraId="5083460D" w14:textId="77777777" w:rsidR="008D7A96" w:rsidRPr="00772364" w:rsidRDefault="008D7A96" w:rsidP="00746613">
            <w:pPr>
              <w:numPr>
                <w:ilvl w:val="0"/>
                <w:numId w:val="17"/>
              </w:numPr>
              <w:jc w:val="both"/>
              <w:rPr>
                <w:rFonts w:ascii="Arial" w:hAnsi="Arial" w:cs="Arial"/>
                <w:color w:val="000000" w:themeColor="text1"/>
                <w:sz w:val="22"/>
                <w:szCs w:val="22"/>
              </w:rPr>
            </w:pPr>
            <w:r w:rsidRPr="00772364">
              <w:rPr>
                <w:rFonts w:ascii="Arial" w:hAnsi="Arial" w:cs="Arial"/>
                <w:color w:val="000000" w:themeColor="text1"/>
                <w:sz w:val="22"/>
                <w:szCs w:val="22"/>
              </w:rPr>
              <w:t>supervised at all times to ensure children or young persons do not enter the area</w:t>
            </w:r>
          </w:p>
          <w:p w14:paraId="5083460E" w14:textId="7B0B21A2" w:rsidR="008D7A96" w:rsidRPr="00772364" w:rsidRDefault="008D7A96" w:rsidP="00746613">
            <w:pPr>
              <w:numPr>
                <w:ilvl w:val="0"/>
                <w:numId w:val="17"/>
              </w:numPr>
              <w:jc w:val="both"/>
              <w:rPr>
                <w:rFonts w:ascii="Arial" w:hAnsi="Arial" w:cs="Arial"/>
                <w:color w:val="000000" w:themeColor="text1"/>
                <w:sz w:val="22"/>
                <w:szCs w:val="22"/>
              </w:rPr>
            </w:pPr>
            <w:r w:rsidRPr="00772364">
              <w:rPr>
                <w:rFonts w:ascii="Arial" w:hAnsi="Arial" w:cs="Arial"/>
                <w:color w:val="000000" w:themeColor="text1"/>
                <w:sz w:val="22"/>
                <w:szCs w:val="22"/>
              </w:rPr>
              <w:t xml:space="preserve">arranged so that the area can be observed by persons responsible for supervision, or </w:t>
            </w:r>
            <w:r w:rsidR="002A5663" w:rsidRPr="00772364">
              <w:rPr>
                <w:rFonts w:ascii="Arial" w:hAnsi="Arial" w:cs="Arial"/>
                <w:color w:val="000000" w:themeColor="text1"/>
                <w:sz w:val="22"/>
                <w:szCs w:val="22"/>
              </w:rPr>
              <w:t>closed-circuit</w:t>
            </w:r>
            <w:r w:rsidRPr="00772364">
              <w:rPr>
                <w:rFonts w:ascii="Arial" w:hAnsi="Arial" w:cs="Arial"/>
                <w:color w:val="000000" w:themeColor="text1"/>
                <w:sz w:val="22"/>
                <w:szCs w:val="22"/>
              </w:rPr>
              <w:t xml:space="preserve"> television which is monitored</w:t>
            </w:r>
            <w:r w:rsidR="005B7A65">
              <w:rPr>
                <w:rFonts w:ascii="Arial" w:hAnsi="Arial" w:cs="Arial"/>
                <w:color w:val="000000" w:themeColor="text1"/>
                <w:sz w:val="22"/>
                <w:szCs w:val="22"/>
              </w:rPr>
              <w:t>.</w:t>
            </w:r>
          </w:p>
          <w:p w14:paraId="5083460F" w14:textId="5A941B84" w:rsidR="008D7A96" w:rsidRPr="00772364" w:rsidRDefault="008D7A96" w:rsidP="00746613">
            <w:pPr>
              <w:ind w:right="70"/>
              <w:jc w:val="both"/>
              <w:rPr>
                <w:rFonts w:ascii="Arial" w:hAnsi="Arial" w:cs="Arial"/>
                <w:color w:val="000000" w:themeColor="text1"/>
                <w:sz w:val="22"/>
                <w:szCs w:val="22"/>
              </w:rPr>
            </w:pPr>
            <w:r w:rsidRPr="00772364">
              <w:rPr>
                <w:rFonts w:ascii="Arial" w:hAnsi="Arial" w:cs="Arial"/>
                <w:color w:val="000000" w:themeColor="text1"/>
                <w:sz w:val="22"/>
                <w:szCs w:val="22"/>
              </w:rPr>
              <w:t>(mandatory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12" w14:textId="77777777" w:rsidTr="00746613">
        <w:trPr>
          <w:jc w:val="center"/>
        </w:trPr>
        <w:tc>
          <w:tcPr>
            <w:tcW w:w="10490" w:type="dxa"/>
            <w:vAlign w:val="center"/>
          </w:tcPr>
          <w:p w14:paraId="50834611" w14:textId="5B33689C" w:rsidR="008D7A96" w:rsidRPr="00772364" w:rsidRDefault="00DB7A03" w:rsidP="009E7147">
            <w:pPr>
              <w:rPr>
                <w:rFonts w:ascii="Arial" w:hAnsi="Arial" w:cs="Arial"/>
                <w:color w:val="000000" w:themeColor="text1"/>
                <w:sz w:val="22"/>
                <w:szCs w:val="22"/>
              </w:rPr>
            </w:pPr>
            <w:r w:rsidRPr="00772364">
              <w:rPr>
                <w:rFonts w:ascii="Arial" w:hAnsi="Arial" w:cs="Arial"/>
                <w:color w:val="000000" w:themeColor="text1"/>
                <w:sz w:val="22"/>
                <w:szCs w:val="22"/>
              </w:rPr>
              <w:t>A notice stating that no person under the age of 18 is permitted to enter the area shall be displayed in a prominent place at the entrance of any area of the premises in which Category C gaming machines are made available for use</w:t>
            </w:r>
            <w:r w:rsidR="005B7A65">
              <w:rPr>
                <w:rFonts w:ascii="Arial" w:hAnsi="Arial" w:cs="Arial"/>
                <w:color w:val="000000" w:themeColor="text1"/>
                <w:sz w:val="22"/>
                <w:szCs w:val="22"/>
              </w:rPr>
              <w:t xml:space="preserve">. </w:t>
            </w:r>
            <w:r w:rsidRPr="00772364">
              <w:rPr>
                <w:rFonts w:ascii="Arial" w:hAnsi="Arial" w:cs="Arial"/>
                <w:color w:val="000000" w:themeColor="text1"/>
                <w:sz w:val="22"/>
                <w:szCs w:val="22"/>
              </w:rPr>
              <w:t>(mandatory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14" w14:textId="77777777" w:rsidTr="00746613">
        <w:trPr>
          <w:jc w:val="center"/>
        </w:trPr>
        <w:tc>
          <w:tcPr>
            <w:tcW w:w="10490" w:type="dxa"/>
            <w:vAlign w:val="center"/>
          </w:tcPr>
          <w:p w14:paraId="50834613" w14:textId="7F12CCDF" w:rsidR="008D7A96" w:rsidRPr="00772364" w:rsidRDefault="008D7A96" w:rsidP="005B7A65">
            <w:pPr>
              <w:rPr>
                <w:rFonts w:ascii="Arial" w:hAnsi="Arial" w:cs="Arial"/>
                <w:color w:val="000000" w:themeColor="text1"/>
                <w:sz w:val="22"/>
                <w:szCs w:val="22"/>
              </w:rPr>
            </w:pPr>
            <w:r w:rsidRPr="00772364">
              <w:rPr>
                <w:rFonts w:ascii="Arial" w:hAnsi="Arial" w:cs="Arial"/>
                <w:color w:val="000000" w:themeColor="text1"/>
                <w:sz w:val="22"/>
                <w:szCs w:val="22"/>
              </w:rPr>
              <w:t>No alcohol shall be permitted to be consumed on the premises at any time during which facilities for gambling are being provided on the premises.  A notice to this effect shall be displayed at every entrance to the premises in a prominent place</w:t>
            </w:r>
            <w:r w:rsidR="005B7A65">
              <w:rPr>
                <w:rFonts w:ascii="Arial" w:hAnsi="Arial" w:cs="Arial"/>
                <w:color w:val="000000" w:themeColor="text1"/>
                <w:sz w:val="22"/>
                <w:szCs w:val="22"/>
              </w:rPr>
              <w:t>.</w:t>
            </w:r>
            <w:r w:rsidR="005B7A65" w:rsidRPr="005B7A65">
              <w:rPr>
                <w:rFonts w:ascii="Arial" w:hAnsi="Arial" w:cs="Arial"/>
                <w:b/>
                <w:color w:val="000000" w:themeColor="text1"/>
                <w:sz w:val="22"/>
                <w:szCs w:val="22"/>
              </w:rPr>
              <w:t xml:space="preserve"> </w:t>
            </w:r>
            <w:r w:rsidR="005B7A65" w:rsidRPr="005B7A65">
              <w:rPr>
                <w:rFonts w:ascii="Arial" w:hAnsi="Arial" w:cs="Arial"/>
                <w:color w:val="000000" w:themeColor="text1"/>
                <w:sz w:val="22"/>
                <w:szCs w:val="22"/>
              </w:rPr>
              <w:t>In Scotland this notice must also specifically state that the sale of alcohol is prohibited.</w:t>
            </w:r>
            <w:r w:rsidRPr="00772364">
              <w:rPr>
                <w:rFonts w:ascii="Arial" w:hAnsi="Arial" w:cs="Arial"/>
                <w:color w:val="000000" w:themeColor="text1"/>
                <w:sz w:val="22"/>
                <w:szCs w:val="22"/>
              </w:rPr>
              <w:t xml:space="preserve"> (mandatory condition - SI 2007 / 1409</w:t>
            </w:r>
            <w:r w:rsidR="005B7A65">
              <w:rPr>
                <w:rFonts w:ascii="Arial" w:hAnsi="Arial" w:cs="Arial"/>
                <w:color w:val="000000" w:themeColor="text1"/>
                <w:sz w:val="22"/>
                <w:szCs w:val="22"/>
              </w:rPr>
              <w:t>/ SSI 2007 / 266</w:t>
            </w:r>
            <w:r w:rsidRPr="00772364">
              <w:rPr>
                <w:rFonts w:ascii="Arial" w:hAnsi="Arial" w:cs="Arial"/>
                <w:color w:val="000000" w:themeColor="text1"/>
                <w:sz w:val="22"/>
                <w:szCs w:val="22"/>
              </w:rPr>
              <w:t>)</w:t>
            </w:r>
          </w:p>
        </w:tc>
      </w:tr>
      <w:tr w:rsidR="00772364" w:rsidRPr="00772364" w14:paraId="50834616" w14:textId="77777777" w:rsidTr="00746613">
        <w:trPr>
          <w:jc w:val="center"/>
        </w:trPr>
        <w:tc>
          <w:tcPr>
            <w:tcW w:w="10490" w:type="dxa"/>
            <w:vAlign w:val="center"/>
          </w:tcPr>
          <w:p w14:paraId="50834615" w14:textId="77777777"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Hours of operation – there are no statutory restrictions on opening hours for FECs but individual premises may have different hours as conditions attached by the licensing authority.</w:t>
            </w:r>
          </w:p>
        </w:tc>
      </w:tr>
      <w:tr w:rsidR="00772364" w:rsidRPr="00772364" w14:paraId="50834619" w14:textId="77777777" w:rsidTr="00746613">
        <w:trPr>
          <w:jc w:val="center"/>
        </w:trPr>
        <w:tc>
          <w:tcPr>
            <w:tcW w:w="10490" w:type="dxa"/>
            <w:vAlign w:val="center"/>
          </w:tcPr>
          <w:p w14:paraId="50834617" w14:textId="77777777" w:rsidR="008D7A96" w:rsidRPr="00772364" w:rsidRDefault="008D7A96" w:rsidP="00746613">
            <w:pPr>
              <w:jc w:val="both"/>
              <w:rPr>
                <w:rFonts w:ascii="Arial" w:hAnsi="Arial" w:cs="Arial"/>
                <w:color w:val="000000" w:themeColor="text1"/>
                <w:sz w:val="22"/>
                <w:szCs w:val="22"/>
              </w:rPr>
            </w:pPr>
            <w:r w:rsidRPr="00772364">
              <w:rPr>
                <w:rFonts w:ascii="Arial" w:hAnsi="Arial" w:cs="Arial"/>
                <w:color w:val="000000" w:themeColor="text1"/>
                <w:sz w:val="22"/>
                <w:szCs w:val="22"/>
              </w:rPr>
              <w:t>Additional premises licence conditions attached by the licensing authority:</w:t>
            </w:r>
          </w:p>
          <w:p w14:paraId="50834618" w14:textId="2EA04501" w:rsidR="002F0A42" w:rsidRPr="00772364" w:rsidRDefault="002F0A42" w:rsidP="002F0A42">
            <w:pPr>
              <w:jc w:val="both"/>
              <w:rPr>
                <w:rFonts w:ascii="Arial" w:hAnsi="Arial" w:cs="Arial"/>
                <w:color w:val="000000" w:themeColor="text1"/>
                <w:sz w:val="22"/>
                <w:szCs w:val="22"/>
              </w:rPr>
            </w:pPr>
            <w:r w:rsidRPr="00772364">
              <w:rPr>
                <w:rFonts w:ascii="Arial" w:hAnsi="Arial" w:cs="Arial"/>
                <w:color w:val="000000" w:themeColor="text1"/>
                <w:sz w:val="22"/>
                <w:szCs w:val="22"/>
              </w:rPr>
              <w:t>Note:</w:t>
            </w:r>
            <w:r w:rsidR="008D7A96" w:rsidRPr="00772364">
              <w:rPr>
                <w:rFonts w:ascii="Arial" w:hAnsi="Arial" w:cs="Arial"/>
                <w:color w:val="000000" w:themeColor="text1"/>
                <w:sz w:val="22"/>
                <w:szCs w:val="22"/>
              </w:rPr>
              <w:t xml:space="preserve"> </w:t>
            </w:r>
            <w:r w:rsidRPr="00772364">
              <w:rPr>
                <w:rFonts w:ascii="Arial" w:hAnsi="Arial" w:cs="Arial"/>
                <w:color w:val="000000" w:themeColor="text1"/>
                <w:sz w:val="22"/>
                <w:szCs w:val="22"/>
              </w:rPr>
              <w:t>w</w:t>
            </w:r>
            <w:r w:rsidR="008D7A96" w:rsidRPr="00772364">
              <w:rPr>
                <w:rFonts w:ascii="Arial" w:hAnsi="Arial" w:cs="Arial"/>
                <w:color w:val="000000" w:themeColor="text1"/>
                <w:sz w:val="22"/>
                <w:szCs w:val="22"/>
              </w:rPr>
              <w:t>here a condition is attached to a premises licence to require door supervisors, if the Private Security and Industry Act 2001 means that they must be SIA registered then that also becomes a co</w:t>
            </w:r>
            <w:r w:rsidRPr="00772364">
              <w:rPr>
                <w:rFonts w:ascii="Arial" w:hAnsi="Arial" w:cs="Arial"/>
                <w:color w:val="000000" w:themeColor="text1"/>
                <w:sz w:val="22"/>
                <w:szCs w:val="22"/>
              </w:rPr>
              <w:t>ndition of the premises licence</w:t>
            </w:r>
            <w:r w:rsidR="005B7A65">
              <w:rPr>
                <w:rFonts w:ascii="Arial" w:hAnsi="Arial" w:cs="Arial"/>
                <w:color w:val="000000" w:themeColor="text1"/>
                <w:sz w:val="22"/>
                <w:szCs w:val="22"/>
              </w:rPr>
              <w:t>.</w:t>
            </w:r>
            <w:r w:rsidR="008D7A96" w:rsidRPr="00772364">
              <w:rPr>
                <w:rFonts w:ascii="Arial" w:hAnsi="Arial" w:cs="Arial"/>
                <w:color w:val="000000" w:themeColor="text1"/>
                <w:sz w:val="22"/>
                <w:szCs w:val="22"/>
              </w:rPr>
              <w:t xml:space="preserve"> (GA05 Section 178)</w:t>
            </w:r>
          </w:p>
        </w:tc>
      </w:tr>
      <w:tr w:rsidR="00772364" w:rsidRPr="00772364" w14:paraId="5083461B" w14:textId="77777777" w:rsidTr="009E7147">
        <w:trPr>
          <w:jc w:val="center"/>
        </w:trPr>
        <w:tc>
          <w:tcPr>
            <w:tcW w:w="10490" w:type="dxa"/>
            <w:shd w:val="clear" w:color="auto" w:fill="BFBFBF" w:themeFill="background1" w:themeFillShade="BF"/>
            <w:vAlign w:val="center"/>
          </w:tcPr>
          <w:p w14:paraId="5083461A" w14:textId="77777777" w:rsidR="009E7147" w:rsidRPr="00772364" w:rsidRDefault="009E7147" w:rsidP="00B337BC">
            <w:pPr>
              <w:jc w:val="both"/>
              <w:rPr>
                <w:rFonts w:ascii="Arial" w:hAnsi="Arial" w:cs="Arial"/>
                <w:b/>
                <w:color w:val="000000" w:themeColor="text1"/>
                <w:sz w:val="22"/>
                <w:szCs w:val="22"/>
              </w:rPr>
            </w:pPr>
            <w:r w:rsidRPr="00772364">
              <w:rPr>
                <w:rFonts w:ascii="Arial" w:hAnsi="Arial" w:cs="Arial"/>
                <w:b/>
                <w:color w:val="000000" w:themeColor="text1"/>
                <w:sz w:val="22"/>
                <w:szCs w:val="22"/>
              </w:rPr>
              <w:t>Gambling Act 2005 legislation (GA05)</w:t>
            </w:r>
          </w:p>
        </w:tc>
      </w:tr>
      <w:tr w:rsidR="00772364" w:rsidRPr="00772364" w14:paraId="50834625" w14:textId="77777777" w:rsidTr="00746613">
        <w:trPr>
          <w:jc w:val="center"/>
        </w:trPr>
        <w:tc>
          <w:tcPr>
            <w:tcW w:w="10490" w:type="dxa"/>
            <w:vAlign w:val="center"/>
          </w:tcPr>
          <w:p w14:paraId="5083461C" w14:textId="77777777" w:rsidR="009E7147" w:rsidRPr="00772364" w:rsidRDefault="009E7147" w:rsidP="00B337BC">
            <w:pPr>
              <w:jc w:val="both"/>
              <w:rPr>
                <w:rFonts w:ascii="Arial" w:hAnsi="Arial" w:cs="Arial"/>
                <w:color w:val="000000" w:themeColor="text1"/>
                <w:sz w:val="22"/>
                <w:szCs w:val="22"/>
              </w:rPr>
            </w:pPr>
            <w:r w:rsidRPr="00772364">
              <w:rPr>
                <w:rFonts w:ascii="Arial" w:hAnsi="Arial" w:cs="Arial"/>
                <w:color w:val="000000" w:themeColor="text1"/>
                <w:sz w:val="22"/>
                <w:szCs w:val="22"/>
              </w:rPr>
              <w:t>Gaming machines permitted: any number of Category C and / or D (GA05 Section 172 and SI 2007 / 2158).</w:t>
            </w:r>
          </w:p>
          <w:p w14:paraId="5083461D" w14:textId="77777777" w:rsidR="009E7147" w:rsidRPr="00772364" w:rsidRDefault="009E7147" w:rsidP="00B337BC">
            <w:pPr>
              <w:jc w:val="both"/>
              <w:rPr>
                <w:rFonts w:ascii="Arial" w:hAnsi="Arial" w:cs="Arial"/>
                <w:color w:val="000000" w:themeColor="text1"/>
                <w:sz w:val="22"/>
                <w:szCs w:val="22"/>
              </w:rPr>
            </w:pPr>
          </w:p>
          <w:p w14:paraId="5083461E" w14:textId="77777777" w:rsidR="009E7147" w:rsidRPr="00772364" w:rsidRDefault="009E7147" w:rsidP="00B337BC">
            <w:pPr>
              <w:ind w:left="720"/>
              <w:rPr>
                <w:rFonts w:ascii="Arial" w:hAnsi="Arial" w:cs="Arial"/>
                <w:color w:val="000000" w:themeColor="text1"/>
                <w:sz w:val="22"/>
                <w:szCs w:val="22"/>
              </w:rPr>
            </w:pPr>
            <w:r w:rsidRPr="00772364">
              <w:rPr>
                <w:rFonts w:ascii="Arial" w:hAnsi="Arial" w:cs="Arial"/>
                <w:color w:val="000000" w:themeColor="text1"/>
                <w:sz w:val="22"/>
                <w:szCs w:val="22"/>
              </w:rPr>
              <w:t>Category C = £1 stake / £100 money prize</w:t>
            </w:r>
          </w:p>
          <w:p w14:paraId="5083461F" w14:textId="77777777" w:rsidR="009E7147" w:rsidRPr="00772364" w:rsidRDefault="009E7147" w:rsidP="00B337BC">
            <w:pPr>
              <w:ind w:left="720"/>
              <w:rPr>
                <w:rFonts w:ascii="Arial" w:hAnsi="Arial" w:cs="Arial"/>
                <w:color w:val="000000" w:themeColor="text1"/>
                <w:sz w:val="22"/>
                <w:szCs w:val="22"/>
              </w:rPr>
            </w:pPr>
            <w:r w:rsidRPr="00772364">
              <w:rPr>
                <w:rFonts w:ascii="Arial" w:hAnsi="Arial" w:cs="Arial"/>
                <w:color w:val="000000" w:themeColor="text1"/>
                <w:sz w:val="22"/>
                <w:szCs w:val="22"/>
              </w:rPr>
              <w:t>Category D = 10p stake / £5 money prize or 30p stake / £8 non-money prize or 10p stake / £8 prize of which £5 maximum is money.</w:t>
            </w:r>
          </w:p>
          <w:p w14:paraId="50834620" w14:textId="77777777" w:rsidR="009E7147" w:rsidRPr="00772364" w:rsidRDefault="009E7147" w:rsidP="00B337BC">
            <w:pPr>
              <w:ind w:left="720"/>
              <w:rPr>
                <w:rFonts w:ascii="Arial" w:hAnsi="Arial" w:cs="Arial"/>
                <w:color w:val="000000" w:themeColor="text1"/>
                <w:sz w:val="22"/>
                <w:szCs w:val="22"/>
              </w:rPr>
            </w:pPr>
            <w:r w:rsidRPr="00772364">
              <w:rPr>
                <w:rFonts w:ascii="Arial" w:hAnsi="Arial" w:cs="Arial"/>
                <w:color w:val="000000" w:themeColor="text1"/>
                <w:sz w:val="22"/>
                <w:szCs w:val="22"/>
              </w:rPr>
              <w:t>Coin pusher only: 20p stake / £20 prize of which £10 maximum is money</w:t>
            </w:r>
          </w:p>
          <w:p w14:paraId="50834621" w14:textId="77777777" w:rsidR="009E7147" w:rsidRPr="00772364" w:rsidRDefault="009E7147" w:rsidP="00B337BC">
            <w:pPr>
              <w:ind w:left="720"/>
              <w:rPr>
                <w:rFonts w:ascii="Arial" w:hAnsi="Arial" w:cs="Arial"/>
                <w:color w:val="000000" w:themeColor="text1"/>
                <w:sz w:val="22"/>
                <w:szCs w:val="22"/>
              </w:rPr>
            </w:pPr>
            <w:r w:rsidRPr="00772364">
              <w:rPr>
                <w:rFonts w:ascii="Arial" w:hAnsi="Arial" w:cs="Arial"/>
                <w:color w:val="000000" w:themeColor="text1"/>
                <w:sz w:val="22"/>
                <w:szCs w:val="22"/>
              </w:rPr>
              <w:t>Crane grabs only: £1 stake/ £50 non-money prize</w:t>
            </w:r>
          </w:p>
          <w:p w14:paraId="50834622" w14:textId="77777777" w:rsidR="009E7147" w:rsidRPr="00772364" w:rsidRDefault="009E7147" w:rsidP="00B337BC">
            <w:pPr>
              <w:jc w:val="both"/>
              <w:rPr>
                <w:rFonts w:ascii="Arial" w:hAnsi="Arial" w:cs="Arial"/>
                <w:color w:val="000000" w:themeColor="text1"/>
                <w:sz w:val="22"/>
                <w:szCs w:val="22"/>
              </w:rPr>
            </w:pPr>
          </w:p>
          <w:p w14:paraId="50834624" w14:textId="69966D3C" w:rsidR="00870144" w:rsidRPr="00772364" w:rsidRDefault="009E7147" w:rsidP="005B7A65">
            <w:pPr>
              <w:jc w:val="both"/>
              <w:rPr>
                <w:color w:val="000000" w:themeColor="text1"/>
              </w:rPr>
            </w:pPr>
            <w:r w:rsidRPr="00772364">
              <w:rPr>
                <w:rFonts w:ascii="Arial" w:hAnsi="Arial" w:cs="Arial"/>
                <w:color w:val="000000" w:themeColor="text1"/>
                <w:sz w:val="22"/>
                <w:szCs w:val="22"/>
              </w:rPr>
              <w:t>Note: stakes may be paid by cash or non-cash forms of payment, except that credit cards cannot be used directly or indirectly to pay for any gaming machine use and debit cards may only be used as an indirect form of payment e.g. to purchase a token or smart card that is subsequently put in the machine</w:t>
            </w:r>
            <w:r w:rsidR="005B7A65">
              <w:rPr>
                <w:rFonts w:ascii="Arial" w:hAnsi="Arial" w:cs="Arial"/>
                <w:color w:val="000000" w:themeColor="text1"/>
                <w:sz w:val="22"/>
                <w:szCs w:val="22"/>
              </w:rPr>
              <w:t xml:space="preserve">. </w:t>
            </w:r>
            <w:r w:rsidRPr="00772364">
              <w:rPr>
                <w:rFonts w:ascii="Arial" w:hAnsi="Arial" w:cs="Arial"/>
                <w:color w:val="000000" w:themeColor="text1"/>
                <w:sz w:val="22"/>
                <w:szCs w:val="22"/>
              </w:rPr>
              <w:t>(SI 2007 / 2158 and SI 2007 / 2319)</w:t>
            </w:r>
          </w:p>
        </w:tc>
      </w:tr>
      <w:tr w:rsidR="00772364" w:rsidRPr="00772364" w14:paraId="50834627" w14:textId="77777777" w:rsidTr="00746613">
        <w:trPr>
          <w:jc w:val="center"/>
        </w:trPr>
        <w:tc>
          <w:tcPr>
            <w:tcW w:w="10490" w:type="dxa"/>
            <w:vAlign w:val="center"/>
          </w:tcPr>
          <w:p w14:paraId="50834626" w14:textId="7B13F20B" w:rsidR="009E7147" w:rsidRPr="00772364" w:rsidRDefault="009E7147" w:rsidP="00B337BC">
            <w:pPr>
              <w:jc w:val="both"/>
              <w:rPr>
                <w:rFonts w:ascii="Arial" w:hAnsi="Arial" w:cs="Arial"/>
                <w:color w:val="000000" w:themeColor="text1"/>
                <w:sz w:val="22"/>
                <w:szCs w:val="22"/>
              </w:rPr>
            </w:pPr>
            <w:r w:rsidRPr="00772364">
              <w:rPr>
                <w:rFonts w:ascii="Arial" w:hAnsi="Arial" w:cs="Arial"/>
                <w:color w:val="000000" w:themeColor="text1"/>
                <w:sz w:val="22"/>
                <w:szCs w:val="22"/>
              </w:rPr>
              <w:lastRenderedPageBreak/>
              <w:t>Premises licence shall be kept on the premises and available on request by police, enforcement officer or authorised local authority officer</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(GA05 Section 185)</w:t>
            </w:r>
          </w:p>
        </w:tc>
      </w:tr>
      <w:tr w:rsidR="00772364" w:rsidRPr="00772364" w14:paraId="50834629" w14:textId="77777777" w:rsidTr="00746613">
        <w:trPr>
          <w:jc w:val="center"/>
        </w:trPr>
        <w:tc>
          <w:tcPr>
            <w:tcW w:w="10490" w:type="dxa"/>
            <w:vAlign w:val="center"/>
          </w:tcPr>
          <w:p w14:paraId="50834628" w14:textId="068EA401" w:rsidR="009E7147" w:rsidRPr="00772364" w:rsidRDefault="009E7147" w:rsidP="00B337BC">
            <w:pPr>
              <w:jc w:val="both"/>
              <w:rPr>
                <w:rFonts w:ascii="Arial" w:hAnsi="Arial" w:cs="Arial"/>
                <w:color w:val="000000" w:themeColor="text1"/>
                <w:sz w:val="22"/>
                <w:szCs w:val="22"/>
              </w:rPr>
            </w:pPr>
            <w:r w:rsidRPr="00772364">
              <w:rPr>
                <w:rFonts w:ascii="Arial" w:hAnsi="Arial" w:cs="Arial"/>
                <w:color w:val="000000" w:themeColor="text1"/>
                <w:sz w:val="22"/>
                <w:szCs w:val="22"/>
              </w:rPr>
              <w:t>No gambling on Christmas Day</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(GA05 Section 183)</w:t>
            </w:r>
          </w:p>
        </w:tc>
      </w:tr>
      <w:tr w:rsidR="00772364" w:rsidRPr="00772364" w14:paraId="5083462B" w14:textId="77777777" w:rsidTr="00746613">
        <w:trPr>
          <w:jc w:val="center"/>
        </w:trPr>
        <w:tc>
          <w:tcPr>
            <w:tcW w:w="10490" w:type="dxa"/>
            <w:vAlign w:val="center"/>
          </w:tcPr>
          <w:p w14:paraId="5083462A" w14:textId="580059A1" w:rsidR="009E7147" w:rsidRPr="00772364" w:rsidRDefault="009E7147" w:rsidP="00B337BC">
            <w:pPr>
              <w:jc w:val="both"/>
              <w:rPr>
                <w:rFonts w:ascii="Arial" w:hAnsi="Arial" w:cs="Arial"/>
                <w:color w:val="000000" w:themeColor="text1"/>
                <w:sz w:val="22"/>
                <w:szCs w:val="22"/>
              </w:rPr>
            </w:pPr>
            <w:r w:rsidRPr="00772364">
              <w:rPr>
                <w:rFonts w:ascii="Arial" w:hAnsi="Arial" w:cs="Arial"/>
                <w:color w:val="000000" w:themeColor="text1"/>
                <w:sz w:val="22"/>
                <w:szCs w:val="22"/>
              </w:rPr>
              <w:t>Protection of Children &amp; Young Persons - Offence if invite, causes or permit a person under 18 to gamble.  Except for gaming machines category D or equal chance gaming at a FEC</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(GA05 Section 46)</w:t>
            </w:r>
          </w:p>
        </w:tc>
      </w:tr>
      <w:tr w:rsidR="00772364" w:rsidRPr="00772364" w14:paraId="5083462D" w14:textId="77777777" w:rsidTr="00746613">
        <w:trPr>
          <w:jc w:val="center"/>
        </w:trPr>
        <w:tc>
          <w:tcPr>
            <w:tcW w:w="10490" w:type="dxa"/>
            <w:vAlign w:val="center"/>
          </w:tcPr>
          <w:p w14:paraId="5083462C" w14:textId="35B33A48" w:rsidR="009E7147" w:rsidRPr="00772364" w:rsidRDefault="009E7147" w:rsidP="00B337BC">
            <w:pPr>
              <w:jc w:val="both"/>
              <w:rPr>
                <w:rFonts w:ascii="Arial" w:hAnsi="Arial" w:cs="Arial"/>
                <w:color w:val="000000" w:themeColor="text1"/>
                <w:sz w:val="22"/>
                <w:szCs w:val="22"/>
              </w:rPr>
            </w:pPr>
            <w:r w:rsidRPr="00772364">
              <w:rPr>
                <w:rFonts w:ascii="Arial" w:hAnsi="Arial" w:cs="Arial"/>
                <w:color w:val="000000" w:themeColor="text1"/>
                <w:sz w:val="22"/>
                <w:szCs w:val="22"/>
              </w:rPr>
              <w:t>Offence if invites or permit a person under 18 from entering area of a premises where an FEC premises licence has effect where there is access to category C gaming machines</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(GA05 Section 47)</w:t>
            </w:r>
          </w:p>
        </w:tc>
      </w:tr>
      <w:tr w:rsidR="00772364" w:rsidRPr="00772364" w14:paraId="5083462F" w14:textId="77777777" w:rsidTr="00746613">
        <w:trPr>
          <w:jc w:val="center"/>
        </w:trPr>
        <w:tc>
          <w:tcPr>
            <w:tcW w:w="10490" w:type="dxa"/>
            <w:vAlign w:val="center"/>
          </w:tcPr>
          <w:p w14:paraId="5083462E" w14:textId="37E199A9" w:rsidR="009E7147" w:rsidRPr="00772364" w:rsidRDefault="009E7147" w:rsidP="00B337BC">
            <w:pPr>
              <w:jc w:val="both"/>
              <w:rPr>
                <w:rFonts w:ascii="Arial" w:hAnsi="Arial" w:cs="Arial"/>
                <w:color w:val="000000" w:themeColor="text1"/>
                <w:sz w:val="22"/>
                <w:szCs w:val="22"/>
              </w:rPr>
            </w:pPr>
            <w:r w:rsidRPr="00772364">
              <w:rPr>
                <w:rFonts w:ascii="Arial" w:hAnsi="Arial" w:cs="Arial"/>
                <w:color w:val="000000" w:themeColor="text1"/>
                <w:sz w:val="22"/>
                <w:szCs w:val="22"/>
              </w:rPr>
              <w:t>Offence if employ a person under 18 to provide facilities for gambling (GA05 Section 51) and / or if employ a person under 18 to perform any function on the premises where gaming machines are sited or in connection with a gaming machine</w:t>
            </w:r>
            <w:r w:rsidR="005B7A65">
              <w:rPr>
                <w:rFonts w:ascii="Arial" w:hAnsi="Arial" w:cs="Arial"/>
                <w:color w:val="000000" w:themeColor="text1"/>
                <w:sz w:val="22"/>
                <w:szCs w:val="22"/>
              </w:rPr>
              <w:t>.</w:t>
            </w:r>
            <w:r w:rsidRPr="00772364">
              <w:rPr>
                <w:rFonts w:ascii="Arial" w:hAnsi="Arial" w:cs="Arial"/>
                <w:color w:val="000000" w:themeColor="text1"/>
                <w:sz w:val="22"/>
                <w:szCs w:val="22"/>
              </w:rPr>
              <w:t xml:space="preserve"> (GA05 Section 54)</w:t>
            </w:r>
          </w:p>
        </w:tc>
      </w:tr>
      <w:tr w:rsidR="00772364" w:rsidRPr="00772364" w14:paraId="50834631" w14:textId="77777777" w:rsidTr="009E7147">
        <w:trPr>
          <w:jc w:val="center"/>
        </w:trPr>
        <w:tc>
          <w:tcPr>
            <w:tcW w:w="10490" w:type="dxa"/>
            <w:shd w:val="clear" w:color="auto" w:fill="BFBFBF" w:themeFill="background1" w:themeFillShade="BF"/>
            <w:vAlign w:val="center"/>
          </w:tcPr>
          <w:p w14:paraId="50834630" w14:textId="7F010995" w:rsidR="009E7147" w:rsidRPr="00772364" w:rsidRDefault="009E7147" w:rsidP="00B337BC">
            <w:pPr>
              <w:jc w:val="both"/>
              <w:rPr>
                <w:rFonts w:ascii="Arial" w:hAnsi="Arial" w:cs="Arial"/>
                <w:b/>
                <w:color w:val="000000" w:themeColor="text1"/>
                <w:sz w:val="22"/>
                <w:szCs w:val="22"/>
              </w:rPr>
            </w:pPr>
            <w:r w:rsidRPr="00772364">
              <w:rPr>
                <w:rFonts w:ascii="Arial" w:hAnsi="Arial" w:cs="Arial"/>
                <w:b/>
                <w:color w:val="000000" w:themeColor="text1"/>
                <w:sz w:val="22"/>
                <w:szCs w:val="22"/>
              </w:rPr>
              <w:t>Social Responsibility Code Provisions (SRCP)</w:t>
            </w:r>
            <w:r w:rsidR="005B7A65">
              <w:rPr>
                <w:rFonts w:ascii="Arial" w:hAnsi="Arial" w:cs="Arial"/>
                <w:b/>
                <w:color w:val="000000" w:themeColor="text1"/>
                <w:sz w:val="22"/>
                <w:szCs w:val="22"/>
              </w:rPr>
              <w:t xml:space="preserve"> and Ordinary Code Provisions (OC)</w:t>
            </w:r>
          </w:p>
        </w:tc>
      </w:tr>
      <w:tr w:rsidR="00772364" w:rsidRPr="00772364" w14:paraId="50834633" w14:textId="77777777" w:rsidTr="00746613">
        <w:trPr>
          <w:jc w:val="center"/>
        </w:trPr>
        <w:tc>
          <w:tcPr>
            <w:tcW w:w="10490" w:type="dxa"/>
            <w:vAlign w:val="center"/>
          </w:tcPr>
          <w:p w14:paraId="50834632" w14:textId="77777777" w:rsidR="009E7147" w:rsidRPr="00772364" w:rsidRDefault="009E7147" w:rsidP="009E7147">
            <w:pPr>
              <w:rPr>
                <w:rFonts w:ascii="Arial" w:hAnsi="Arial" w:cs="Arial"/>
                <w:color w:val="000000" w:themeColor="text1"/>
                <w:sz w:val="22"/>
                <w:szCs w:val="22"/>
              </w:rPr>
            </w:pPr>
            <w:r w:rsidRPr="00772364">
              <w:rPr>
                <w:rFonts w:ascii="Arial" w:hAnsi="Arial" w:cs="Arial"/>
                <w:color w:val="000000" w:themeColor="text1"/>
                <w:sz w:val="22"/>
                <w:szCs w:val="22"/>
              </w:rPr>
              <w:t>Does the licensee contract any third parties in relation to their licensed activities?  Is a commitment to taking responsibility for third party operators evident? (SRCP 1.1)</w:t>
            </w:r>
          </w:p>
        </w:tc>
      </w:tr>
      <w:tr w:rsidR="00772364" w:rsidRPr="00772364" w14:paraId="50834635" w14:textId="77777777" w:rsidTr="00746613">
        <w:trPr>
          <w:jc w:val="center"/>
        </w:trPr>
        <w:tc>
          <w:tcPr>
            <w:tcW w:w="10490" w:type="dxa"/>
            <w:vAlign w:val="center"/>
          </w:tcPr>
          <w:p w14:paraId="50834634" w14:textId="77777777" w:rsidR="009E7147" w:rsidRPr="00772364" w:rsidRDefault="00BD2FB4" w:rsidP="00AB3EEC">
            <w:pPr>
              <w:pStyle w:val="Default"/>
              <w:rPr>
                <w:color w:val="000000" w:themeColor="text1"/>
                <w:sz w:val="22"/>
                <w:szCs w:val="22"/>
              </w:rPr>
            </w:pPr>
            <w:r w:rsidRPr="00772364">
              <w:rPr>
                <w:color w:val="000000" w:themeColor="text1"/>
                <w:sz w:val="22"/>
                <w:szCs w:val="22"/>
              </w:rPr>
              <w:t xml:space="preserve">Can the licensee evidence an annual </w:t>
            </w:r>
            <w:r w:rsidRPr="00772364">
              <w:rPr>
                <w:color w:val="000000" w:themeColor="text1"/>
                <w:sz w:val="22"/>
                <w:szCs w:val="22"/>
                <w:u w:val="single"/>
              </w:rPr>
              <w:t xml:space="preserve">financial </w:t>
            </w:r>
            <w:r w:rsidRPr="00772364">
              <w:rPr>
                <w:color w:val="000000" w:themeColor="text1"/>
                <w:sz w:val="22"/>
                <w:szCs w:val="22"/>
              </w:rPr>
              <w:t>contribution to one or more organisation(s) which between them research into the prevention and treatment of gambling-related harm, develop harm prevention approaches and identify and fund treatment to those harmed by gambling</w:t>
            </w:r>
            <w:r w:rsidR="00AB3EEC" w:rsidRPr="00772364">
              <w:rPr>
                <w:color w:val="000000" w:themeColor="text1"/>
                <w:sz w:val="22"/>
                <w:szCs w:val="22"/>
              </w:rPr>
              <w:t xml:space="preserve"> </w:t>
            </w:r>
            <w:r w:rsidRPr="00772364">
              <w:rPr>
                <w:color w:val="000000" w:themeColor="text1"/>
                <w:sz w:val="22"/>
                <w:szCs w:val="22"/>
              </w:rPr>
              <w:t>(SRCP 3.1</w:t>
            </w:r>
            <w:r w:rsidR="007922FE" w:rsidRPr="00772364">
              <w:rPr>
                <w:color w:val="000000" w:themeColor="text1"/>
                <w:sz w:val="22"/>
                <w:szCs w:val="22"/>
              </w:rPr>
              <w:t>)</w:t>
            </w:r>
          </w:p>
        </w:tc>
      </w:tr>
      <w:tr w:rsidR="00772364" w:rsidRPr="00772364" w14:paraId="50834637" w14:textId="77777777" w:rsidTr="00746613">
        <w:trPr>
          <w:jc w:val="center"/>
        </w:trPr>
        <w:tc>
          <w:tcPr>
            <w:tcW w:w="10490" w:type="dxa"/>
            <w:vAlign w:val="center"/>
          </w:tcPr>
          <w:p w14:paraId="50834636" w14:textId="77777777" w:rsidR="00870144" w:rsidRPr="00772364" w:rsidRDefault="0091710E">
            <w:pPr>
              <w:rPr>
                <w:color w:val="000000" w:themeColor="text1"/>
              </w:rPr>
            </w:pPr>
            <w:r w:rsidRPr="00772364">
              <w:rPr>
                <w:rFonts w:ascii="Arial" w:hAnsi="Arial" w:cs="Arial"/>
                <w:color w:val="000000" w:themeColor="text1"/>
                <w:sz w:val="22"/>
                <w:szCs w:val="22"/>
              </w:rPr>
              <w:t>Does the licensee have and put into effect policies and procedures designed to prevent underage gambling? (SRCP 3.2)</w:t>
            </w:r>
          </w:p>
        </w:tc>
      </w:tr>
      <w:tr w:rsidR="00772364" w:rsidRPr="00772364" w14:paraId="50834639" w14:textId="77777777" w:rsidTr="00746613">
        <w:trPr>
          <w:jc w:val="center"/>
        </w:trPr>
        <w:tc>
          <w:tcPr>
            <w:tcW w:w="10490" w:type="dxa"/>
            <w:vAlign w:val="center"/>
          </w:tcPr>
          <w:p w14:paraId="50834638" w14:textId="77777777" w:rsidR="00870144" w:rsidRPr="00772364" w:rsidRDefault="009E7147">
            <w:pPr>
              <w:jc w:val="both"/>
              <w:rPr>
                <w:color w:val="000000" w:themeColor="text1"/>
              </w:rPr>
            </w:pPr>
            <w:r w:rsidRPr="00772364">
              <w:rPr>
                <w:rFonts w:ascii="Arial" w:hAnsi="Arial" w:cs="Arial"/>
                <w:color w:val="000000" w:themeColor="text1"/>
                <w:sz w:val="22"/>
                <w:szCs w:val="22"/>
              </w:rPr>
              <w:t xml:space="preserve">Is information readily available to customers on how to gamble responsibly and seek help in respect of problem gambling? (SRCP 3.3) </w:t>
            </w:r>
          </w:p>
        </w:tc>
      </w:tr>
      <w:tr w:rsidR="00772364" w:rsidRPr="00772364" w14:paraId="5083463B" w14:textId="77777777" w:rsidTr="00746613">
        <w:trPr>
          <w:jc w:val="center"/>
        </w:trPr>
        <w:tc>
          <w:tcPr>
            <w:tcW w:w="10490" w:type="dxa"/>
            <w:vAlign w:val="center"/>
          </w:tcPr>
          <w:p w14:paraId="5083463A" w14:textId="47BD136D" w:rsidR="00ED3873" w:rsidRPr="00772364" w:rsidRDefault="00A27A1F" w:rsidP="00ED3873">
            <w:pPr>
              <w:rPr>
                <w:color w:val="000000" w:themeColor="text1"/>
              </w:rPr>
            </w:pPr>
            <w:r>
              <w:rPr>
                <w:rFonts w:ascii="Arial" w:hAnsi="Arial" w:cs="Arial"/>
                <w:color w:val="000000"/>
                <w:sz w:val="22"/>
                <w:szCs w:val="22"/>
              </w:rPr>
              <w:t xml:space="preserve">Has the licensee put into effect policies and procedures for customer interaction where they have concerns that a customer </w:t>
            </w:r>
            <w:r>
              <w:rPr>
                <w:rFonts w:ascii="Arial" w:hAnsi="Arial" w:cs="Arial"/>
                <w:sz w:val="22"/>
                <w:szCs w:val="22"/>
              </w:rPr>
              <w:t>may be at risk of or experiencing harms associated with gambling</w:t>
            </w:r>
            <w:r>
              <w:rPr>
                <w:rFonts w:ascii="Arial" w:hAnsi="Arial" w:cs="Arial"/>
                <w:color w:val="000000"/>
                <w:sz w:val="22"/>
                <w:szCs w:val="22"/>
              </w:rPr>
              <w:t xml:space="preserve"> (SRCP 3.4)</w:t>
            </w:r>
          </w:p>
        </w:tc>
      </w:tr>
      <w:tr w:rsidR="00772364" w:rsidRPr="00772364" w14:paraId="5083463D" w14:textId="77777777" w:rsidTr="00746613">
        <w:trPr>
          <w:jc w:val="center"/>
        </w:trPr>
        <w:tc>
          <w:tcPr>
            <w:tcW w:w="10490" w:type="dxa"/>
            <w:vAlign w:val="center"/>
          </w:tcPr>
          <w:p w14:paraId="5083463C" w14:textId="64D0C1DB" w:rsidR="00ED3873" w:rsidRPr="00772364" w:rsidRDefault="009E7147" w:rsidP="00ED3873">
            <w:pPr>
              <w:jc w:val="both"/>
              <w:rPr>
                <w:color w:val="000000" w:themeColor="text1"/>
              </w:rPr>
            </w:pPr>
            <w:r w:rsidRPr="00772364">
              <w:rPr>
                <w:rFonts w:ascii="Arial" w:hAnsi="Arial" w:cs="Arial"/>
                <w:color w:val="000000" w:themeColor="text1"/>
                <w:sz w:val="22"/>
                <w:szCs w:val="22"/>
              </w:rPr>
              <w:t>Does the licensee have and put into effect procedures for self-exclusion?  (SRCP 3.5)</w:t>
            </w:r>
          </w:p>
        </w:tc>
      </w:tr>
      <w:tr w:rsidR="00772364" w:rsidRPr="00772364" w14:paraId="5083463F" w14:textId="77777777" w:rsidTr="00746613">
        <w:trPr>
          <w:jc w:val="center"/>
        </w:trPr>
        <w:tc>
          <w:tcPr>
            <w:tcW w:w="10490" w:type="dxa"/>
            <w:vAlign w:val="center"/>
          </w:tcPr>
          <w:p w14:paraId="5083463E" w14:textId="77777777" w:rsidR="00870144" w:rsidRPr="00772364" w:rsidRDefault="00FC2E4E">
            <w:pPr>
              <w:rPr>
                <w:rFonts w:ascii="Arial" w:hAnsi="Arial" w:cs="Arial"/>
                <w:color w:val="000000" w:themeColor="text1"/>
                <w:sz w:val="22"/>
                <w:szCs w:val="22"/>
              </w:rPr>
            </w:pPr>
            <w:r w:rsidRPr="00772364">
              <w:rPr>
                <w:rFonts w:ascii="Arial" w:hAnsi="Arial" w:cs="Arial"/>
                <w:color w:val="000000" w:themeColor="text1"/>
                <w:sz w:val="22"/>
                <w:szCs w:val="22"/>
              </w:rPr>
              <w:t>Are the terms and conditions of any customer incentive or reward schemes clearly set out and readily available to customers? (SRCP 5)</w:t>
            </w:r>
          </w:p>
        </w:tc>
      </w:tr>
      <w:tr w:rsidR="00772364" w:rsidRPr="00772364" w14:paraId="50834641" w14:textId="77777777" w:rsidTr="00746613">
        <w:trPr>
          <w:jc w:val="center"/>
        </w:trPr>
        <w:tc>
          <w:tcPr>
            <w:tcW w:w="10490" w:type="dxa"/>
            <w:vAlign w:val="center"/>
          </w:tcPr>
          <w:p w14:paraId="50834640" w14:textId="7981E76F" w:rsidR="00870144" w:rsidRPr="00772364" w:rsidRDefault="003701EF">
            <w:pPr>
              <w:jc w:val="both"/>
              <w:rPr>
                <w:rFonts w:ascii="Arial" w:hAnsi="Arial" w:cs="Arial"/>
                <w:color w:val="000000" w:themeColor="text1"/>
                <w:sz w:val="22"/>
                <w:szCs w:val="22"/>
              </w:rPr>
            </w:pPr>
            <w:r>
              <w:rPr>
                <w:rFonts w:ascii="Arial" w:hAnsi="Arial" w:cs="Arial"/>
                <w:color w:val="000000"/>
                <w:sz w:val="22"/>
                <w:szCs w:val="22"/>
              </w:rPr>
              <w:t xml:space="preserve">Has the licensee put into effect appropriate policies and procedures for accepting and handling customer complaints and disputes in a timely, fair, open and transparent manner? </w:t>
            </w:r>
            <w:r w:rsidR="009E7147" w:rsidRPr="00772364">
              <w:rPr>
                <w:rFonts w:ascii="Arial" w:hAnsi="Arial" w:cs="Arial"/>
                <w:color w:val="000000" w:themeColor="text1"/>
                <w:sz w:val="22"/>
                <w:szCs w:val="22"/>
              </w:rPr>
              <w:t>(SRCP 6)</w:t>
            </w:r>
          </w:p>
        </w:tc>
      </w:tr>
      <w:tr w:rsidR="00772364" w:rsidRPr="00772364" w14:paraId="50834643" w14:textId="77777777" w:rsidTr="00746613">
        <w:trPr>
          <w:jc w:val="center"/>
        </w:trPr>
        <w:tc>
          <w:tcPr>
            <w:tcW w:w="10490" w:type="dxa"/>
            <w:vAlign w:val="center"/>
          </w:tcPr>
          <w:p w14:paraId="50834642" w14:textId="77777777" w:rsidR="009E7147" w:rsidRPr="00772364" w:rsidRDefault="009E7147" w:rsidP="00B337BC">
            <w:pPr>
              <w:jc w:val="both"/>
              <w:rPr>
                <w:rFonts w:ascii="Arial" w:hAnsi="Arial" w:cs="Arial"/>
                <w:color w:val="000000" w:themeColor="text1"/>
                <w:sz w:val="22"/>
                <w:szCs w:val="22"/>
              </w:rPr>
            </w:pPr>
            <w:r w:rsidRPr="00772364">
              <w:rPr>
                <w:rFonts w:ascii="Arial" w:hAnsi="Arial" w:cs="Arial"/>
                <w:color w:val="000000" w:themeColor="text1"/>
                <w:sz w:val="22"/>
                <w:szCs w:val="22"/>
              </w:rPr>
              <w:t>Has the licensee ensured that employees involved in the provision of facilities for gambling are made aware of advice on socially responsible gambling and where to get help should their own gambling become hard to control? (SRCP 7)</w:t>
            </w:r>
          </w:p>
        </w:tc>
      </w:tr>
      <w:tr w:rsidR="00772364" w:rsidRPr="00772364" w14:paraId="50834645" w14:textId="77777777" w:rsidTr="00746613">
        <w:trPr>
          <w:jc w:val="center"/>
        </w:trPr>
        <w:tc>
          <w:tcPr>
            <w:tcW w:w="10490" w:type="dxa"/>
            <w:vAlign w:val="center"/>
          </w:tcPr>
          <w:p w14:paraId="50834644" w14:textId="77777777" w:rsidR="00870144" w:rsidRPr="00772364" w:rsidRDefault="002120A4">
            <w:pPr>
              <w:pStyle w:val="Default"/>
              <w:rPr>
                <w:color w:val="000000" w:themeColor="text1"/>
                <w:sz w:val="22"/>
                <w:szCs w:val="22"/>
              </w:rPr>
            </w:pPr>
            <w:r w:rsidRPr="00772364">
              <w:rPr>
                <w:color w:val="000000" w:themeColor="text1"/>
                <w:sz w:val="22"/>
                <w:szCs w:val="22"/>
              </w:rPr>
              <w:t xml:space="preserve">Can the operator evidence </w:t>
            </w:r>
            <w:r w:rsidR="00ED3873" w:rsidRPr="00772364">
              <w:rPr>
                <w:color w:val="000000" w:themeColor="text1"/>
                <w:sz w:val="22"/>
                <w:szCs w:val="22"/>
              </w:rPr>
              <w:t>policies, procedures and control measures to mitigate risks identified within the Local Risk Assessment?  (SRCP 10)</w:t>
            </w:r>
          </w:p>
        </w:tc>
      </w:tr>
      <w:tr w:rsidR="00772364" w:rsidRPr="00772364" w14:paraId="50834647" w14:textId="77777777" w:rsidTr="00746613">
        <w:trPr>
          <w:jc w:val="center"/>
        </w:trPr>
        <w:tc>
          <w:tcPr>
            <w:tcW w:w="10490" w:type="dxa"/>
            <w:vAlign w:val="center"/>
          </w:tcPr>
          <w:p w14:paraId="50834646" w14:textId="77777777" w:rsidR="009E7147" w:rsidRPr="00772364" w:rsidRDefault="009E7147" w:rsidP="00B337BC">
            <w:pPr>
              <w:rPr>
                <w:rFonts w:ascii="Arial" w:hAnsi="Arial" w:cs="Arial"/>
                <w:color w:val="000000" w:themeColor="text1"/>
                <w:sz w:val="22"/>
                <w:szCs w:val="22"/>
              </w:rPr>
            </w:pPr>
            <w:r w:rsidRPr="00772364">
              <w:rPr>
                <w:rFonts w:ascii="Arial" w:hAnsi="Arial" w:cs="Arial"/>
                <w:color w:val="000000" w:themeColor="text1"/>
                <w:sz w:val="22"/>
                <w:szCs w:val="22"/>
              </w:rPr>
              <w:t>Have the premises employees been sufficiently trained in the social responsibility code provisions and was any such training evidenced via logs/records?</w:t>
            </w:r>
          </w:p>
        </w:tc>
      </w:tr>
    </w:tbl>
    <w:p w14:paraId="50834648" w14:textId="77777777" w:rsidR="00226E00" w:rsidRPr="009836E9" w:rsidRDefault="00226E00" w:rsidP="009836E9"/>
    <w:sectPr w:rsidR="00226E00" w:rsidRPr="009836E9" w:rsidSect="00F57F82">
      <w:footerReference w:type="even" r:id="rId18"/>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5261" w14:textId="77777777" w:rsidR="00C4135A" w:rsidRDefault="00C4135A">
      <w:r>
        <w:separator/>
      </w:r>
    </w:p>
  </w:endnote>
  <w:endnote w:type="continuationSeparator" w:id="0">
    <w:p w14:paraId="3E7AF713" w14:textId="77777777" w:rsidR="00C4135A" w:rsidRDefault="00C4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4651" w14:textId="77777777" w:rsidR="00F57F82" w:rsidRDefault="00ED3873" w:rsidP="00AA55E8">
    <w:pPr>
      <w:pStyle w:val="Footer"/>
      <w:framePr w:wrap="around" w:vAnchor="text" w:hAnchor="margin" w:xAlign="right" w:y="1"/>
      <w:rPr>
        <w:rStyle w:val="PageNumber"/>
      </w:rPr>
    </w:pPr>
    <w:r>
      <w:rPr>
        <w:rStyle w:val="PageNumber"/>
      </w:rPr>
      <w:fldChar w:fldCharType="begin"/>
    </w:r>
    <w:r w:rsidR="00F57F82">
      <w:rPr>
        <w:rStyle w:val="PageNumber"/>
      </w:rPr>
      <w:instrText xml:space="preserve">PAGE  </w:instrText>
    </w:r>
    <w:r>
      <w:rPr>
        <w:rStyle w:val="PageNumber"/>
      </w:rPr>
      <w:fldChar w:fldCharType="end"/>
    </w:r>
  </w:p>
  <w:p w14:paraId="50834652" w14:textId="77777777" w:rsidR="00F57F82" w:rsidRDefault="00F57F82" w:rsidP="00AA5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4653" w14:textId="3663A355" w:rsidR="001E5BA2" w:rsidRDefault="00A27A1F">
    <w:pPr>
      <w:pStyle w:val="Footer"/>
    </w:pPr>
    <w:r>
      <w:rPr>
        <w:rFonts w:ascii="Arial" w:hAnsi="Arial"/>
        <w:sz w:val="22"/>
      </w:rPr>
      <w:t>October 2019</w:t>
    </w:r>
    <w:r w:rsidR="005B7A65">
      <w:rPr>
        <w:rFonts w:ascii="Arial" w:hAnsi="Arial"/>
        <w:sz w:val="22"/>
      </w:rPr>
      <w:t xml:space="preserve"> </w:t>
    </w:r>
    <w:r w:rsidR="001E5BA2">
      <w:rPr>
        <w:rFonts w:ascii="Arial" w:hAnsi="Arial"/>
        <w:sz w:val="22"/>
      </w:rPr>
      <w:tab/>
    </w:r>
    <w:r w:rsidR="001E5BA2">
      <w:rPr>
        <w:rFonts w:ascii="Arial" w:hAnsi="Arial" w:cs="Arial"/>
        <w:sz w:val="22"/>
        <w:szCs w:val="20"/>
      </w:rPr>
      <w:t>Leicester, Leicestershire and Rutland Licensing Forum</w:t>
    </w:r>
    <w:r w:rsidR="001E5BA2">
      <w:rPr>
        <w:rFonts w:ascii="Arial" w:hAnsi="Arial" w:cs="Arial"/>
        <w:sz w:val="22"/>
        <w:szCs w:val="20"/>
      </w:rPr>
      <w:tab/>
    </w:r>
    <w:r w:rsidR="001E5BA2">
      <w:rPr>
        <w:rFonts w:ascii="Arial" w:hAnsi="Arial"/>
        <w:sz w:val="22"/>
      </w:rPr>
      <w:t xml:space="preserve">Page </w:t>
    </w:r>
    <w:r w:rsidR="00ED3873">
      <w:rPr>
        <w:rFonts w:ascii="Arial" w:hAnsi="Arial"/>
        <w:b/>
        <w:sz w:val="22"/>
      </w:rPr>
      <w:fldChar w:fldCharType="begin"/>
    </w:r>
    <w:r w:rsidR="001E5BA2">
      <w:rPr>
        <w:rFonts w:ascii="Arial" w:hAnsi="Arial"/>
        <w:b/>
        <w:sz w:val="22"/>
      </w:rPr>
      <w:instrText xml:space="preserve"> PAGE </w:instrText>
    </w:r>
    <w:r w:rsidR="00ED3873">
      <w:rPr>
        <w:rFonts w:ascii="Arial" w:hAnsi="Arial"/>
        <w:b/>
        <w:sz w:val="22"/>
      </w:rPr>
      <w:fldChar w:fldCharType="separate"/>
    </w:r>
    <w:r w:rsidR="00A8417E">
      <w:rPr>
        <w:rFonts w:ascii="Arial" w:hAnsi="Arial"/>
        <w:b/>
        <w:noProof/>
        <w:sz w:val="22"/>
      </w:rPr>
      <w:t>5</w:t>
    </w:r>
    <w:r w:rsidR="00ED3873">
      <w:rPr>
        <w:rFonts w:ascii="Arial" w:hAnsi="Arial"/>
        <w:b/>
        <w:sz w:val="22"/>
      </w:rPr>
      <w:fldChar w:fldCharType="end"/>
    </w:r>
    <w:r w:rsidR="001E5BA2">
      <w:rPr>
        <w:rFonts w:ascii="Arial" w:hAnsi="Arial"/>
        <w:sz w:val="22"/>
      </w:rPr>
      <w:t xml:space="preserve"> of </w:t>
    </w:r>
    <w:r w:rsidR="00ED3873">
      <w:rPr>
        <w:rFonts w:ascii="Arial" w:hAnsi="Arial"/>
        <w:b/>
        <w:sz w:val="22"/>
      </w:rPr>
      <w:fldChar w:fldCharType="begin"/>
    </w:r>
    <w:r w:rsidR="001E5BA2">
      <w:rPr>
        <w:rFonts w:ascii="Arial" w:hAnsi="Arial"/>
        <w:b/>
        <w:sz w:val="22"/>
      </w:rPr>
      <w:instrText xml:space="preserve"> NUMPAGES  </w:instrText>
    </w:r>
    <w:r w:rsidR="00ED3873">
      <w:rPr>
        <w:rFonts w:ascii="Arial" w:hAnsi="Arial"/>
        <w:b/>
        <w:sz w:val="22"/>
      </w:rPr>
      <w:fldChar w:fldCharType="separate"/>
    </w:r>
    <w:r w:rsidR="00A8417E">
      <w:rPr>
        <w:rFonts w:ascii="Arial" w:hAnsi="Arial"/>
        <w:b/>
        <w:noProof/>
        <w:sz w:val="22"/>
      </w:rPr>
      <w:t>5</w:t>
    </w:r>
    <w:r w:rsidR="00ED3873">
      <w:rPr>
        <w:rFonts w:ascii="Arial" w:hAnsi="Arial"/>
        <w:b/>
        <w:sz w:val="22"/>
      </w:rPr>
      <w:fldChar w:fldCharType="end"/>
    </w:r>
  </w:p>
  <w:p w14:paraId="50834654" w14:textId="77777777" w:rsidR="00F57F82" w:rsidRDefault="00F57F82" w:rsidP="00AA55E8">
    <w:pPr>
      <w:pStyle w:val="Footer"/>
      <w:tabs>
        <w:tab w:val="lef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916B" w14:textId="77777777" w:rsidR="00C4135A" w:rsidRDefault="00C4135A">
      <w:r>
        <w:separator/>
      </w:r>
    </w:p>
  </w:footnote>
  <w:footnote w:type="continuationSeparator" w:id="0">
    <w:p w14:paraId="7579216F" w14:textId="77777777" w:rsidR="00C4135A" w:rsidRDefault="00C4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9D"/>
    <w:multiLevelType w:val="hybridMultilevel"/>
    <w:tmpl w:val="B4047D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A2B11"/>
    <w:multiLevelType w:val="hybridMultilevel"/>
    <w:tmpl w:val="D5165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73B27"/>
    <w:multiLevelType w:val="hybridMultilevel"/>
    <w:tmpl w:val="F01E6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A3B74"/>
    <w:multiLevelType w:val="hybridMultilevel"/>
    <w:tmpl w:val="139CC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45979"/>
    <w:multiLevelType w:val="hybridMultilevel"/>
    <w:tmpl w:val="71380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A3A69"/>
    <w:multiLevelType w:val="hybridMultilevel"/>
    <w:tmpl w:val="2FE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FF1D2E"/>
    <w:multiLevelType w:val="hybridMultilevel"/>
    <w:tmpl w:val="6EE6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534448"/>
    <w:multiLevelType w:val="hybridMultilevel"/>
    <w:tmpl w:val="6DC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7224E"/>
    <w:multiLevelType w:val="hybridMultilevel"/>
    <w:tmpl w:val="75F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477E5"/>
    <w:multiLevelType w:val="hybridMultilevel"/>
    <w:tmpl w:val="9A2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33D2E"/>
    <w:multiLevelType w:val="hybridMultilevel"/>
    <w:tmpl w:val="BB48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15254"/>
    <w:multiLevelType w:val="hybridMultilevel"/>
    <w:tmpl w:val="56CEAE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BD769C9"/>
    <w:multiLevelType w:val="hybridMultilevel"/>
    <w:tmpl w:val="43DE1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A1A39"/>
    <w:multiLevelType w:val="hybridMultilevel"/>
    <w:tmpl w:val="6F569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F2F76"/>
    <w:multiLevelType w:val="hybridMultilevel"/>
    <w:tmpl w:val="F2B6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25F93"/>
    <w:multiLevelType w:val="hybridMultilevel"/>
    <w:tmpl w:val="ACFC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8145C"/>
    <w:multiLevelType w:val="hybridMultilevel"/>
    <w:tmpl w:val="765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C4B2A"/>
    <w:multiLevelType w:val="hybridMultilevel"/>
    <w:tmpl w:val="B950E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8F6C0E"/>
    <w:multiLevelType w:val="hybridMultilevel"/>
    <w:tmpl w:val="237A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332E2"/>
    <w:multiLevelType w:val="hybridMultilevel"/>
    <w:tmpl w:val="790E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D021D"/>
    <w:multiLevelType w:val="hybridMultilevel"/>
    <w:tmpl w:val="92C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462F4"/>
    <w:multiLevelType w:val="hybridMultilevel"/>
    <w:tmpl w:val="CE58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7"/>
  </w:num>
  <w:num w:numId="4">
    <w:abstractNumId w:val="4"/>
  </w:num>
  <w:num w:numId="5">
    <w:abstractNumId w:val="21"/>
  </w:num>
  <w:num w:numId="6">
    <w:abstractNumId w:val="6"/>
  </w:num>
  <w:num w:numId="7">
    <w:abstractNumId w:val="1"/>
  </w:num>
  <w:num w:numId="8">
    <w:abstractNumId w:val="14"/>
  </w:num>
  <w:num w:numId="9">
    <w:abstractNumId w:val="8"/>
  </w:num>
  <w:num w:numId="10">
    <w:abstractNumId w:val="5"/>
  </w:num>
  <w:num w:numId="11">
    <w:abstractNumId w:val="2"/>
  </w:num>
  <w:num w:numId="12">
    <w:abstractNumId w:val="9"/>
  </w:num>
  <w:num w:numId="13">
    <w:abstractNumId w:val="20"/>
  </w:num>
  <w:num w:numId="14">
    <w:abstractNumId w:val="16"/>
  </w:num>
  <w:num w:numId="15">
    <w:abstractNumId w:val="12"/>
  </w:num>
  <w:num w:numId="16">
    <w:abstractNumId w:val="13"/>
  </w:num>
  <w:num w:numId="17">
    <w:abstractNumId w:val="18"/>
  </w:num>
  <w:num w:numId="18">
    <w:abstractNumId w:val="11"/>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78"/>
    <w:rsid w:val="00011E28"/>
    <w:rsid w:val="00011FCC"/>
    <w:rsid w:val="00013FD4"/>
    <w:rsid w:val="0001651E"/>
    <w:rsid w:val="000217D9"/>
    <w:rsid w:val="00037622"/>
    <w:rsid w:val="00043D58"/>
    <w:rsid w:val="00051278"/>
    <w:rsid w:val="00052775"/>
    <w:rsid w:val="00052BC3"/>
    <w:rsid w:val="00054B3E"/>
    <w:rsid w:val="0005762D"/>
    <w:rsid w:val="00067A3E"/>
    <w:rsid w:val="0008339F"/>
    <w:rsid w:val="00096B38"/>
    <w:rsid w:val="000A1551"/>
    <w:rsid w:val="000A4F63"/>
    <w:rsid w:val="000C05FD"/>
    <w:rsid w:val="000D5453"/>
    <w:rsid w:val="000E09AD"/>
    <w:rsid w:val="000E1A2C"/>
    <w:rsid w:val="000F5F01"/>
    <w:rsid w:val="00102522"/>
    <w:rsid w:val="00102B8A"/>
    <w:rsid w:val="00103838"/>
    <w:rsid w:val="0010464B"/>
    <w:rsid w:val="00111D7C"/>
    <w:rsid w:val="0011429D"/>
    <w:rsid w:val="00114D2F"/>
    <w:rsid w:val="0012292A"/>
    <w:rsid w:val="0014040E"/>
    <w:rsid w:val="0014749E"/>
    <w:rsid w:val="00161451"/>
    <w:rsid w:val="0017182F"/>
    <w:rsid w:val="00173BBE"/>
    <w:rsid w:val="0018475E"/>
    <w:rsid w:val="001B7DD6"/>
    <w:rsid w:val="001D5049"/>
    <w:rsid w:val="001E5BA2"/>
    <w:rsid w:val="001E6FF5"/>
    <w:rsid w:val="001F60D3"/>
    <w:rsid w:val="001F6B79"/>
    <w:rsid w:val="00206128"/>
    <w:rsid w:val="002120A4"/>
    <w:rsid w:val="002122B2"/>
    <w:rsid w:val="00225F7A"/>
    <w:rsid w:val="00226E00"/>
    <w:rsid w:val="00227E6B"/>
    <w:rsid w:val="0023795D"/>
    <w:rsid w:val="00242695"/>
    <w:rsid w:val="002503DF"/>
    <w:rsid w:val="00255BD6"/>
    <w:rsid w:val="00287898"/>
    <w:rsid w:val="002A5663"/>
    <w:rsid w:val="002C2521"/>
    <w:rsid w:val="002C2D5D"/>
    <w:rsid w:val="002E385D"/>
    <w:rsid w:val="002F0A42"/>
    <w:rsid w:val="00313F03"/>
    <w:rsid w:val="00322D96"/>
    <w:rsid w:val="0033329D"/>
    <w:rsid w:val="003423CA"/>
    <w:rsid w:val="00345868"/>
    <w:rsid w:val="0034703F"/>
    <w:rsid w:val="00350063"/>
    <w:rsid w:val="00351160"/>
    <w:rsid w:val="003540D9"/>
    <w:rsid w:val="00357C33"/>
    <w:rsid w:val="00366927"/>
    <w:rsid w:val="003701EF"/>
    <w:rsid w:val="00372063"/>
    <w:rsid w:val="00373D60"/>
    <w:rsid w:val="0037484C"/>
    <w:rsid w:val="003748AA"/>
    <w:rsid w:val="00377549"/>
    <w:rsid w:val="00380BF5"/>
    <w:rsid w:val="003A12EE"/>
    <w:rsid w:val="003B0D15"/>
    <w:rsid w:val="00401830"/>
    <w:rsid w:val="004066B2"/>
    <w:rsid w:val="00421623"/>
    <w:rsid w:val="004223A7"/>
    <w:rsid w:val="0043794F"/>
    <w:rsid w:val="00442595"/>
    <w:rsid w:val="00443880"/>
    <w:rsid w:val="00444F29"/>
    <w:rsid w:val="00474E52"/>
    <w:rsid w:val="004953DF"/>
    <w:rsid w:val="004A121B"/>
    <w:rsid w:val="004A419D"/>
    <w:rsid w:val="004B5194"/>
    <w:rsid w:val="004C100A"/>
    <w:rsid w:val="004D0FD0"/>
    <w:rsid w:val="004F0115"/>
    <w:rsid w:val="004F1C76"/>
    <w:rsid w:val="004F5112"/>
    <w:rsid w:val="004F6A93"/>
    <w:rsid w:val="00502635"/>
    <w:rsid w:val="00502E1D"/>
    <w:rsid w:val="00512891"/>
    <w:rsid w:val="00515402"/>
    <w:rsid w:val="0052547C"/>
    <w:rsid w:val="00540633"/>
    <w:rsid w:val="0054718C"/>
    <w:rsid w:val="0055564C"/>
    <w:rsid w:val="00561B40"/>
    <w:rsid w:val="00561E14"/>
    <w:rsid w:val="00563A07"/>
    <w:rsid w:val="00577AF1"/>
    <w:rsid w:val="0059434A"/>
    <w:rsid w:val="005A5D10"/>
    <w:rsid w:val="005B7A65"/>
    <w:rsid w:val="005F4DEA"/>
    <w:rsid w:val="0060410D"/>
    <w:rsid w:val="00607EC5"/>
    <w:rsid w:val="006178D6"/>
    <w:rsid w:val="00655B2E"/>
    <w:rsid w:val="00662149"/>
    <w:rsid w:val="00680583"/>
    <w:rsid w:val="00681E61"/>
    <w:rsid w:val="00685604"/>
    <w:rsid w:val="006908B8"/>
    <w:rsid w:val="00691AE2"/>
    <w:rsid w:val="006B239F"/>
    <w:rsid w:val="006B621C"/>
    <w:rsid w:val="006C2A51"/>
    <w:rsid w:val="006C4518"/>
    <w:rsid w:val="006D0374"/>
    <w:rsid w:val="006D2C2C"/>
    <w:rsid w:val="00707644"/>
    <w:rsid w:val="0071247D"/>
    <w:rsid w:val="00741E6E"/>
    <w:rsid w:val="00746613"/>
    <w:rsid w:val="00746F42"/>
    <w:rsid w:val="00765CF3"/>
    <w:rsid w:val="007709A2"/>
    <w:rsid w:val="00772364"/>
    <w:rsid w:val="00785325"/>
    <w:rsid w:val="00786FF3"/>
    <w:rsid w:val="007922FE"/>
    <w:rsid w:val="0079421A"/>
    <w:rsid w:val="00796039"/>
    <w:rsid w:val="007A0929"/>
    <w:rsid w:val="007C1558"/>
    <w:rsid w:val="007C658D"/>
    <w:rsid w:val="007C6597"/>
    <w:rsid w:val="007F75A5"/>
    <w:rsid w:val="008229FC"/>
    <w:rsid w:val="00836463"/>
    <w:rsid w:val="008522EF"/>
    <w:rsid w:val="00856B3A"/>
    <w:rsid w:val="00870144"/>
    <w:rsid w:val="008734AE"/>
    <w:rsid w:val="0089732E"/>
    <w:rsid w:val="008A7BA8"/>
    <w:rsid w:val="008B2A98"/>
    <w:rsid w:val="008C68A8"/>
    <w:rsid w:val="008D7A96"/>
    <w:rsid w:val="008E367A"/>
    <w:rsid w:val="008E6776"/>
    <w:rsid w:val="008F5A3D"/>
    <w:rsid w:val="0091710E"/>
    <w:rsid w:val="00920687"/>
    <w:rsid w:val="00940BDA"/>
    <w:rsid w:val="0094238A"/>
    <w:rsid w:val="0095009F"/>
    <w:rsid w:val="00956C94"/>
    <w:rsid w:val="009836E9"/>
    <w:rsid w:val="009876AB"/>
    <w:rsid w:val="00995425"/>
    <w:rsid w:val="009B19CF"/>
    <w:rsid w:val="009B1A80"/>
    <w:rsid w:val="009B2B66"/>
    <w:rsid w:val="009B5026"/>
    <w:rsid w:val="009B66BC"/>
    <w:rsid w:val="009C5FAC"/>
    <w:rsid w:val="009C5FFD"/>
    <w:rsid w:val="009E7147"/>
    <w:rsid w:val="009F6C6D"/>
    <w:rsid w:val="00A14416"/>
    <w:rsid w:val="00A15733"/>
    <w:rsid w:val="00A17578"/>
    <w:rsid w:val="00A21E2D"/>
    <w:rsid w:val="00A27A1F"/>
    <w:rsid w:val="00A376E6"/>
    <w:rsid w:val="00A67BED"/>
    <w:rsid w:val="00A740C1"/>
    <w:rsid w:val="00A755B0"/>
    <w:rsid w:val="00A83BD9"/>
    <w:rsid w:val="00A8417E"/>
    <w:rsid w:val="00A91A9B"/>
    <w:rsid w:val="00A93427"/>
    <w:rsid w:val="00AA55E8"/>
    <w:rsid w:val="00AB3EEC"/>
    <w:rsid w:val="00AB7D14"/>
    <w:rsid w:val="00AC0BED"/>
    <w:rsid w:val="00AF7AEC"/>
    <w:rsid w:val="00B03700"/>
    <w:rsid w:val="00B114F9"/>
    <w:rsid w:val="00B145CA"/>
    <w:rsid w:val="00B200FC"/>
    <w:rsid w:val="00B37D46"/>
    <w:rsid w:val="00B57DB2"/>
    <w:rsid w:val="00B82CA4"/>
    <w:rsid w:val="00BA7D4F"/>
    <w:rsid w:val="00BC390E"/>
    <w:rsid w:val="00BC537C"/>
    <w:rsid w:val="00BD141E"/>
    <w:rsid w:val="00BD2FB4"/>
    <w:rsid w:val="00BE21A9"/>
    <w:rsid w:val="00BF4205"/>
    <w:rsid w:val="00C018D0"/>
    <w:rsid w:val="00C31704"/>
    <w:rsid w:val="00C4135A"/>
    <w:rsid w:val="00C531D9"/>
    <w:rsid w:val="00C53C8D"/>
    <w:rsid w:val="00C64251"/>
    <w:rsid w:val="00C64B58"/>
    <w:rsid w:val="00C91C24"/>
    <w:rsid w:val="00C937B9"/>
    <w:rsid w:val="00C941BF"/>
    <w:rsid w:val="00CA3149"/>
    <w:rsid w:val="00CD0D0A"/>
    <w:rsid w:val="00CD26BA"/>
    <w:rsid w:val="00CE0D09"/>
    <w:rsid w:val="00CE1763"/>
    <w:rsid w:val="00CF24D2"/>
    <w:rsid w:val="00D01AA9"/>
    <w:rsid w:val="00D03B67"/>
    <w:rsid w:val="00D26FFA"/>
    <w:rsid w:val="00D3600A"/>
    <w:rsid w:val="00D365DA"/>
    <w:rsid w:val="00D42464"/>
    <w:rsid w:val="00D62745"/>
    <w:rsid w:val="00D938C9"/>
    <w:rsid w:val="00DA3ACC"/>
    <w:rsid w:val="00DB4378"/>
    <w:rsid w:val="00DB7A03"/>
    <w:rsid w:val="00DD7537"/>
    <w:rsid w:val="00DE1BCA"/>
    <w:rsid w:val="00E01397"/>
    <w:rsid w:val="00E16870"/>
    <w:rsid w:val="00E31A74"/>
    <w:rsid w:val="00E378C7"/>
    <w:rsid w:val="00E457A8"/>
    <w:rsid w:val="00E60684"/>
    <w:rsid w:val="00E60FAC"/>
    <w:rsid w:val="00E63BEE"/>
    <w:rsid w:val="00E65750"/>
    <w:rsid w:val="00E66FC2"/>
    <w:rsid w:val="00E7150F"/>
    <w:rsid w:val="00E759AF"/>
    <w:rsid w:val="00E90F8B"/>
    <w:rsid w:val="00E91476"/>
    <w:rsid w:val="00EB287A"/>
    <w:rsid w:val="00EB3AEA"/>
    <w:rsid w:val="00EB6BD3"/>
    <w:rsid w:val="00ED3873"/>
    <w:rsid w:val="00ED3F18"/>
    <w:rsid w:val="00EF008D"/>
    <w:rsid w:val="00EF0972"/>
    <w:rsid w:val="00EF6DEF"/>
    <w:rsid w:val="00F01DB7"/>
    <w:rsid w:val="00F04CC8"/>
    <w:rsid w:val="00F07C4B"/>
    <w:rsid w:val="00F100D1"/>
    <w:rsid w:val="00F20A92"/>
    <w:rsid w:val="00F33951"/>
    <w:rsid w:val="00F355B7"/>
    <w:rsid w:val="00F478E3"/>
    <w:rsid w:val="00F51279"/>
    <w:rsid w:val="00F564B1"/>
    <w:rsid w:val="00F57F82"/>
    <w:rsid w:val="00F65454"/>
    <w:rsid w:val="00F76AE2"/>
    <w:rsid w:val="00F77006"/>
    <w:rsid w:val="00F80FCA"/>
    <w:rsid w:val="00F81859"/>
    <w:rsid w:val="00FA4634"/>
    <w:rsid w:val="00FB2DAA"/>
    <w:rsid w:val="00FB652B"/>
    <w:rsid w:val="00FC2E4E"/>
    <w:rsid w:val="00FE06EC"/>
    <w:rsid w:val="00FE3039"/>
    <w:rsid w:val="00FE451F"/>
    <w:rsid w:val="00FE634F"/>
    <w:rsid w:val="00FF3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3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B0D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537C"/>
    <w:rPr>
      <w:color w:val="0000FF"/>
      <w:u w:val="single"/>
    </w:rPr>
  </w:style>
  <w:style w:type="paragraph" w:styleId="Footer">
    <w:name w:val="footer"/>
    <w:basedOn w:val="Normal"/>
    <w:link w:val="FooterChar"/>
    <w:uiPriority w:val="99"/>
    <w:rsid w:val="00AA55E8"/>
    <w:pPr>
      <w:tabs>
        <w:tab w:val="center" w:pos="4320"/>
        <w:tab w:val="right" w:pos="8640"/>
      </w:tabs>
    </w:pPr>
  </w:style>
  <w:style w:type="character" w:styleId="PageNumber">
    <w:name w:val="page number"/>
    <w:basedOn w:val="DefaultParagraphFont"/>
    <w:rsid w:val="00AA55E8"/>
  </w:style>
  <w:style w:type="paragraph" w:styleId="Header">
    <w:name w:val="header"/>
    <w:basedOn w:val="Normal"/>
    <w:rsid w:val="00AA55E8"/>
    <w:pPr>
      <w:tabs>
        <w:tab w:val="center" w:pos="4320"/>
        <w:tab w:val="right" w:pos="8640"/>
      </w:tabs>
    </w:pPr>
  </w:style>
  <w:style w:type="paragraph" w:styleId="FootnoteText">
    <w:name w:val="footnote text"/>
    <w:basedOn w:val="Normal"/>
    <w:semiHidden/>
    <w:rsid w:val="00CE1763"/>
    <w:rPr>
      <w:sz w:val="20"/>
      <w:szCs w:val="20"/>
    </w:rPr>
  </w:style>
  <w:style w:type="character" w:styleId="FootnoteReference">
    <w:name w:val="footnote reference"/>
    <w:basedOn w:val="DefaultParagraphFont"/>
    <w:semiHidden/>
    <w:rsid w:val="00CE1763"/>
    <w:rPr>
      <w:vertAlign w:val="superscript"/>
    </w:rPr>
  </w:style>
  <w:style w:type="character" w:styleId="CommentReference">
    <w:name w:val="annotation reference"/>
    <w:basedOn w:val="DefaultParagraphFont"/>
    <w:rsid w:val="00A15733"/>
    <w:rPr>
      <w:sz w:val="16"/>
      <w:szCs w:val="16"/>
    </w:rPr>
  </w:style>
  <w:style w:type="paragraph" w:styleId="CommentText">
    <w:name w:val="annotation text"/>
    <w:basedOn w:val="Normal"/>
    <w:link w:val="CommentTextChar"/>
    <w:rsid w:val="00A15733"/>
    <w:rPr>
      <w:sz w:val="20"/>
      <w:szCs w:val="20"/>
    </w:rPr>
  </w:style>
  <w:style w:type="character" w:customStyle="1" w:styleId="CommentTextChar">
    <w:name w:val="Comment Text Char"/>
    <w:basedOn w:val="DefaultParagraphFont"/>
    <w:link w:val="CommentText"/>
    <w:rsid w:val="00A15733"/>
  </w:style>
  <w:style w:type="paragraph" w:styleId="CommentSubject">
    <w:name w:val="annotation subject"/>
    <w:basedOn w:val="CommentText"/>
    <w:next w:val="CommentText"/>
    <w:link w:val="CommentSubjectChar"/>
    <w:rsid w:val="00A15733"/>
    <w:rPr>
      <w:b/>
      <w:bCs/>
    </w:rPr>
  </w:style>
  <w:style w:type="character" w:customStyle="1" w:styleId="CommentSubjectChar">
    <w:name w:val="Comment Subject Char"/>
    <w:basedOn w:val="CommentTextChar"/>
    <w:link w:val="CommentSubject"/>
    <w:rsid w:val="00A15733"/>
    <w:rPr>
      <w:b/>
      <w:bCs/>
    </w:rPr>
  </w:style>
  <w:style w:type="paragraph" w:styleId="BalloonText">
    <w:name w:val="Balloon Text"/>
    <w:basedOn w:val="Normal"/>
    <w:link w:val="BalloonTextChar"/>
    <w:rsid w:val="00A15733"/>
    <w:rPr>
      <w:rFonts w:ascii="Tahoma" w:hAnsi="Tahoma" w:cs="Tahoma"/>
      <w:sz w:val="16"/>
      <w:szCs w:val="16"/>
    </w:rPr>
  </w:style>
  <w:style w:type="character" w:customStyle="1" w:styleId="BalloonTextChar">
    <w:name w:val="Balloon Text Char"/>
    <w:basedOn w:val="DefaultParagraphFont"/>
    <w:link w:val="BalloonText"/>
    <w:rsid w:val="00A15733"/>
    <w:rPr>
      <w:rFonts w:ascii="Tahoma" w:hAnsi="Tahoma" w:cs="Tahoma"/>
      <w:sz w:val="16"/>
      <w:szCs w:val="16"/>
    </w:rPr>
  </w:style>
  <w:style w:type="paragraph" w:styleId="ListParagraph">
    <w:name w:val="List Paragraph"/>
    <w:basedOn w:val="Normal"/>
    <w:uiPriority w:val="34"/>
    <w:qFormat/>
    <w:rsid w:val="00226E00"/>
    <w:pPr>
      <w:ind w:left="720"/>
      <w:contextualSpacing/>
    </w:pPr>
  </w:style>
  <w:style w:type="character" w:customStyle="1" w:styleId="FooterChar">
    <w:name w:val="Footer Char"/>
    <w:basedOn w:val="DefaultParagraphFont"/>
    <w:link w:val="Footer"/>
    <w:uiPriority w:val="99"/>
    <w:rsid w:val="001E5BA2"/>
    <w:rPr>
      <w:sz w:val="24"/>
      <w:szCs w:val="24"/>
    </w:rPr>
  </w:style>
  <w:style w:type="paragraph" w:customStyle="1" w:styleId="Default">
    <w:name w:val="Default"/>
    <w:rsid w:val="00BD2FB4"/>
    <w:pPr>
      <w:autoSpaceDE w:val="0"/>
      <w:autoSpaceDN w:val="0"/>
      <w:adjustRightInd w:val="0"/>
    </w:pPr>
    <w:rPr>
      <w:rFonts w:ascii="Arial" w:eastAsia="Calibri" w:hAnsi="Arial" w:cs="Arial"/>
      <w:color w:val="000000"/>
      <w:sz w:val="24"/>
      <w:szCs w:val="24"/>
    </w:rPr>
  </w:style>
  <w:style w:type="character" w:styleId="UnresolvedMention">
    <w:name w:val="Unresolved Mention"/>
    <w:basedOn w:val="DefaultParagraphFont"/>
    <w:uiPriority w:val="99"/>
    <w:semiHidden/>
    <w:unhideWhenUsed/>
    <w:rsid w:val="00E45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253200">
      <w:bodyDiv w:val="1"/>
      <w:marLeft w:val="0"/>
      <w:marRight w:val="0"/>
      <w:marTop w:val="0"/>
      <w:marBottom w:val="0"/>
      <w:divBdr>
        <w:top w:val="none" w:sz="0" w:space="0" w:color="auto"/>
        <w:left w:val="none" w:sz="0" w:space="0" w:color="auto"/>
        <w:bottom w:val="none" w:sz="0" w:space="0" w:color="auto"/>
        <w:right w:val="none" w:sz="0" w:space="0" w:color="auto"/>
      </w:divBdr>
    </w:div>
    <w:div w:id="14358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amblingcommission.gov.uk" TargetMode="External"/><Relationship Id="rId2" Type="http://schemas.openxmlformats.org/officeDocument/2006/relationships/customXml" Target="../customXml/item2.xml"/><Relationship Id="rId16" Type="http://schemas.openxmlformats.org/officeDocument/2006/relationships/hyperlink" Target="mailto:licensing@xcounci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censing@xcouncil.gov.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3.xml><?xml version="1.0" encoding="utf-8"?>
<?mso-contentType ?>
<SharedContentType xmlns="Microsoft.SharePoint.Taxonomy.ContentTypeSync" SourceId="97c85119-18d9-41e7-8c9c-94d8ffdc55dc" ContentTypeId="0x010100943D46E95D4A1B4FBA60C8AEF611E21902050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nsight Document" ma:contentTypeID="0x010100943D46E95D4A1B4FBA60C8AEF611E21902050400A9479D72C3BB554888497CBAE5E78E56" ma:contentTypeVersion="22" ma:contentTypeDescription="" ma:contentTypeScope="" ma:versionID="bed596eff2af0d49c7755e275d063291">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3617a18880ff93dd4fd41db3d7d9371b"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_dlc_ExpireDateSaved" ma:index="10" nillable="true" ma:displayName="Original Expiration Date" ma:description="" ma:hidden="true" ma:internalName="_dlc_ExpireDateSaved" ma:readOnly="true">
      <xsd:simpleType>
        <xsd:restriction base="dms:DateTime"/>
      </xsd:simpleType>
    </xsd:element>
    <xsd:element name="_dlc_ExpireDate" ma:index="11" nillable="true" ma:displayName="Expiration Date" ma:description=""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description=""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FA6A17A-32A1-40B5-ACA1-6069D3104720}">
  <ds:schemaRefs>
    <ds:schemaRef ds:uri="http://schemas.microsoft.com/office/2006/metadata/customXsn"/>
  </ds:schemaRefs>
</ds:datastoreItem>
</file>

<file path=customXml/itemProps2.xml><?xml version="1.0" encoding="utf-8"?>
<ds:datastoreItem xmlns:ds="http://schemas.openxmlformats.org/officeDocument/2006/customXml" ds:itemID="{3A9ADAC8-62C2-40C3-A075-6D81BB5B68D8}">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dcd4d639-de5a-4bad-aded-2c25c5bf9fca"/>
    <ds:schemaRef ds:uri="http://www.w3.org/XML/1998/namespace"/>
  </ds:schemaRefs>
</ds:datastoreItem>
</file>

<file path=customXml/itemProps3.xml><?xml version="1.0" encoding="utf-8"?>
<ds:datastoreItem xmlns:ds="http://schemas.openxmlformats.org/officeDocument/2006/customXml" ds:itemID="{69462DC2-3645-471F-8B69-8C7E5A4D2081}">
  <ds:schemaRefs>
    <ds:schemaRef ds:uri="Microsoft.SharePoint.Taxonomy.ContentTypeSync"/>
  </ds:schemaRefs>
</ds:datastoreItem>
</file>

<file path=customXml/itemProps4.xml><?xml version="1.0" encoding="utf-8"?>
<ds:datastoreItem xmlns:ds="http://schemas.openxmlformats.org/officeDocument/2006/customXml" ds:itemID="{9BFF1C20-39B1-473D-9E41-3B910729B194}">
  <ds:schemaRefs>
    <ds:schemaRef ds:uri="http://schemas.microsoft.com/sharepoint/v3/contenttype/forms"/>
  </ds:schemaRefs>
</ds:datastoreItem>
</file>

<file path=customXml/itemProps5.xml><?xml version="1.0" encoding="utf-8"?>
<ds:datastoreItem xmlns:ds="http://schemas.openxmlformats.org/officeDocument/2006/customXml" ds:itemID="{CC273DAB-8C44-46E6-9590-C2D6FA7D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4d639-de5a-4bad-aded-2c25c5bf9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1F9112C-958D-4413-9041-CFECC8F208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Links>
    <vt:vector size="18" baseType="variant">
      <vt:variant>
        <vt:i4>6029391</vt:i4>
      </vt:variant>
      <vt:variant>
        <vt:i4>6</vt:i4>
      </vt:variant>
      <vt:variant>
        <vt:i4>0</vt:i4>
      </vt:variant>
      <vt:variant>
        <vt:i4>5</vt:i4>
      </vt:variant>
      <vt:variant>
        <vt:lpwstr>http://www.gamblingcommission.gov.uk/</vt:lpwstr>
      </vt:variant>
      <vt:variant>
        <vt:lpwstr/>
      </vt:variant>
      <vt:variant>
        <vt:i4>1638502</vt:i4>
      </vt:variant>
      <vt:variant>
        <vt:i4>3</vt:i4>
      </vt:variant>
      <vt:variant>
        <vt:i4>0</vt:i4>
      </vt:variant>
      <vt:variant>
        <vt:i4>5</vt:i4>
      </vt:variant>
      <vt:variant>
        <vt:lpwstr>mailto:licensing@xcouncil.gov.uk</vt:lpwstr>
      </vt:variant>
      <vt:variant>
        <vt:lpwstr/>
      </vt:variant>
      <vt:variant>
        <vt:i4>7995438</vt:i4>
      </vt:variant>
      <vt:variant>
        <vt:i4>0</vt:i4>
      </vt:variant>
      <vt:variant>
        <vt:i4>0</vt:i4>
      </vt:variant>
      <vt:variant>
        <vt:i4>5</vt:i4>
      </vt:variant>
      <vt:variant>
        <vt:lpwstr>http://www.lgo.org.uk/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2019-10-25T09:27:00Z</dcterms:created>
  <dcterms:modified xsi:type="dcterms:W3CDTF">2019-10-25T09:27:00Z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0x010100943D46E95D4A1B4FBA60C8AEF611E21902050400A9479D72C3BB554888497CBAE5E78E56</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Project Document Type">
    <vt:lpwstr/>
  </property>
  <property fmtid="{D5CDD505-2E9C-101B-9397-08002B2CF9AE}" pid="13" name="Meeting Group">
    <vt:lpwstr/>
  </property>
  <property fmtid="{D5CDD505-2E9C-101B-9397-08002B2CF9AE}" pid="14" name="EI Documents">
    <vt:lpwstr/>
  </property>
  <property fmtid="{D5CDD505-2E9C-101B-9397-08002B2CF9AE}" pid="15" name="Finance Document">
    <vt:lpwstr/>
  </property>
  <property fmtid="{D5CDD505-2E9C-101B-9397-08002B2CF9AE}" pid="16" name="Year">
    <vt:lpwstr/>
  </property>
  <property fmtid="{D5CDD505-2E9C-101B-9397-08002B2CF9AE}" pid="17" name="Month">
    <vt:lpwstr/>
  </property>
  <property fmtid="{D5CDD505-2E9C-101B-9397-08002B2CF9AE}" pid="18" name="File Exhibit">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Meeting Year">
    <vt:lpwstr/>
  </property>
  <property fmtid="{D5CDD505-2E9C-101B-9397-08002B2CF9AE}" pid="23" name="Meeting Document">
    <vt:lpwstr/>
  </property>
  <property fmtid="{D5CDD505-2E9C-101B-9397-08002B2CF9AE}" pid="24" name="Report Type">
    <vt:lpwstr/>
  </property>
  <property fmtid="{D5CDD505-2E9C-101B-9397-08002B2CF9AE}" pid="25" name="Operator ID">
    <vt:lpwstr/>
  </property>
  <property fmtid="{D5CDD505-2E9C-101B-9397-08002B2CF9AE}" pid="26" name="Contract Type">
    <vt:lpwstr/>
  </property>
  <property fmtid="{D5CDD505-2E9C-101B-9397-08002B2CF9AE}" pid="27" name="Incident Ref Number">
    <vt:lpwstr/>
  </property>
  <property fmtid="{D5CDD505-2E9C-101B-9397-08002B2CF9AE}" pid="28" name="Licensing Subject">
    <vt:lpwstr/>
  </property>
  <property fmtid="{D5CDD505-2E9C-101B-9397-08002B2CF9AE}" pid="29" name="LTT Topic">
    <vt:lpwstr/>
  </property>
  <property fmtid="{D5CDD505-2E9C-101B-9397-08002B2CF9AE}" pid="30" name="l5cd9abbff024cf7bf00a775ad9fdd22">
    <vt:lpwstr/>
  </property>
</Properties>
</file>